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ffffff" w:themeColor="background1" w:fill="ffffff" w:themeFill="background1"/>
        <w:tabs>
          <w:tab w:val="left" w:pos="6926" w:leader="none"/>
        </w:tabs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Д</w:t>
      </w:r>
      <w:r>
        <w:rPr>
          <w:b/>
          <w:bCs/>
          <w:sz w:val="22"/>
          <w:szCs w:val="22"/>
          <w:highlight w:val="white"/>
        </w:rPr>
        <w:t xml:space="preserve">ОГОВОР ПОСТАВКИ №_________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ind w:firstLine="709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jc w:val="right"/>
        <w:shd w:val="clear" w:color="ffffff" w:themeColor="background1" w:fill="ffffff" w:themeFill="background1"/>
        <w:tabs>
          <w:tab w:val="right" w:pos="9639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г. Хабаровск</w:t>
      </w:r>
      <w:r>
        <w:rPr>
          <w:bCs/>
          <w:sz w:val="22"/>
          <w:szCs w:val="22"/>
          <w:highlight w:val="white"/>
        </w:rPr>
        <w:tab/>
        <w:t xml:space="preserve">   «___» _________ </w:t>
      </w:r>
      <w:r>
        <w:rPr>
          <w:bCs/>
          <w:sz w:val="22"/>
          <w:szCs w:val="22"/>
          <w:highlight w:val="white"/>
        </w:rPr>
        <w:t xml:space="preserve">г.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right"/>
        <w:shd w:val="clear" w:color="ffffff" w:themeColor="background1" w:fill="ffffff" w:themeFill="background1"/>
        <w:tabs>
          <w:tab w:val="right" w:pos="9639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pacing w:val="10"/>
          <w:sz w:val="22"/>
          <w:szCs w:val="22"/>
          <w:highlight w:val="white"/>
        </w:rPr>
      </w:pPr>
      <w:r>
        <w:rPr>
          <w:spacing w:val="10"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  <w:t xml:space="preserve">А</w:t>
      </w:r>
      <w:r>
        <w:rPr>
          <w:b/>
          <w:sz w:val="22"/>
          <w:szCs w:val="22"/>
          <w:highlight w:val="white"/>
        </w:rPr>
        <w:t xml:space="preserve">кционерное общество «</w:t>
      </w:r>
      <w:r>
        <w:rPr>
          <w:b/>
          <w:sz w:val="22"/>
          <w:szCs w:val="22"/>
          <w:highlight w:val="white"/>
        </w:rPr>
        <w:t xml:space="preserve">Дальневосточная </w:t>
      </w:r>
      <w:r>
        <w:rPr>
          <w:b/>
          <w:sz w:val="22"/>
          <w:szCs w:val="22"/>
          <w:highlight w:val="white"/>
        </w:rPr>
        <w:t xml:space="preserve">генерирующая компания» (АО «</w:t>
      </w:r>
      <w:r>
        <w:rPr>
          <w:b/>
          <w:sz w:val="22"/>
          <w:szCs w:val="22"/>
          <w:highlight w:val="white"/>
        </w:rPr>
        <w:t xml:space="preserve">ДГК</w:t>
      </w:r>
      <w:r>
        <w:rPr>
          <w:b/>
          <w:sz w:val="22"/>
          <w:szCs w:val="22"/>
          <w:highlight w:val="white"/>
        </w:rPr>
        <w:t xml:space="preserve">»)</w:t>
      </w:r>
      <w:r>
        <w:rPr>
          <w:spacing w:val="2"/>
          <w:sz w:val="22"/>
          <w:szCs w:val="22"/>
          <w:highlight w:val="white"/>
        </w:rPr>
        <w:t xml:space="preserve">, </w:t>
      </w:r>
      <w:r>
        <w:rPr>
          <w:spacing w:val="2"/>
          <w:sz w:val="22"/>
          <w:szCs w:val="22"/>
          <w:highlight w:val="white"/>
        </w:rPr>
        <w:t xml:space="preserve">(далее – </w:t>
      </w:r>
      <w:r>
        <w:rPr>
          <w:sz w:val="22"/>
          <w:szCs w:val="22"/>
          <w:highlight w:val="white"/>
        </w:rPr>
        <w:t xml:space="preserve">Покупатель</w:t>
      </w:r>
      <w:r>
        <w:rPr>
          <w:sz w:val="22"/>
          <w:szCs w:val="22"/>
          <w:highlight w:val="white"/>
        </w:rPr>
        <w:t xml:space="preserve">)</w:t>
      </w:r>
      <w:r>
        <w:rPr>
          <w:sz w:val="22"/>
          <w:szCs w:val="22"/>
          <w:highlight w:val="white"/>
        </w:rPr>
        <w:t xml:space="preserve">, в лице _____________________</w:t>
      </w:r>
      <w:r>
        <w:rPr>
          <w:spacing w:val="4"/>
          <w:sz w:val="22"/>
          <w:szCs w:val="22"/>
          <w:highlight w:val="white"/>
        </w:rPr>
        <w:t xml:space="preserve">, действующего на основании ________, с одной стороны, и</w:t>
      </w:r>
      <w:r>
        <w:rPr>
          <w:spacing w:val="10"/>
          <w:sz w:val="22"/>
          <w:szCs w:val="22"/>
          <w:highlight w:val="white"/>
        </w:rPr>
        <w:t xml:space="preserve"> </w:t>
      </w:r>
      <w:r>
        <w:rPr>
          <w:spacing w:val="10"/>
          <w:sz w:val="22"/>
          <w:szCs w:val="22"/>
          <w:highlight w:val="white"/>
        </w:rPr>
      </w:r>
      <w:r>
        <w:rPr>
          <w:spacing w:val="10"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b/>
          <w:spacing w:val="10"/>
          <w:sz w:val="22"/>
          <w:szCs w:val="22"/>
          <w:highlight w:val="white"/>
        </w:rPr>
        <w:t xml:space="preserve">Полное наименование Контрагента</w:t>
      </w:r>
      <w:r>
        <w:rPr>
          <w:b/>
          <w:spacing w:val="10"/>
          <w:sz w:val="22"/>
          <w:szCs w:val="22"/>
          <w:highlight w:val="white"/>
        </w:rPr>
        <w:t xml:space="preserve"> (сокращенное наименование Контрагента)</w:t>
      </w:r>
      <w:r>
        <w:rPr>
          <w:b/>
          <w:spacing w:val="10"/>
          <w:sz w:val="22"/>
          <w:szCs w:val="22"/>
          <w:highlight w:val="white"/>
        </w:rPr>
        <w:t xml:space="preserve">,</w:t>
      </w:r>
      <w:r>
        <w:rPr>
          <w:bCs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(</w:t>
      </w:r>
      <w:r>
        <w:rPr>
          <w:sz w:val="22"/>
          <w:szCs w:val="22"/>
          <w:highlight w:val="white"/>
        </w:rPr>
        <w:t xml:space="preserve">дал</w:t>
      </w:r>
      <w:r>
        <w:rPr>
          <w:sz w:val="22"/>
          <w:szCs w:val="22"/>
          <w:highlight w:val="white"/>
        </w:rPr>
        <w:t xml:space="preserve">ее –</w:t>
      </w:r>
      <w:r>
        <w:rPr>
          <w:sz w:val="22"/>
          <w:szCs w:val="22"/>
          <w:highlight w:val="white"/>
        </w:rPr>
        <w:t xml:space="preserve"> Поставщик</w:t>
      </w:r>
      <w:r>
        <w:rPr>
          <w:sz w:val="22"/>
          <w:szCs w:val="22"/>
          <w:highlight w:val="white"/>
        </w:rPr>
        <w:t xml:space="preserve">)</w:t>
      </w:r>
      <w:r>
        <w:rPr>
          <w:sz w:val="22"/>
          <w:szCs w:val="22"/>
          <w:highlight w:val="white"/>
        </w:rPr>
        <w:t xml:space="preserve">, в лице __</w:t>
      </w:r>
      <w:r>
        <w:rPr>
          <w:sz w:val="22"/>
          <w:szCs w:val="22"/>
          <w:highlight w:val="white"/>
        </w:rPr>
        <w:t xml:space="preserve">___</w:t>
      </w:r>
      <w:r>
        <w:rPr>
          <w:sz w:val="22"/>
          <w:szCs w:val="22"/>
          <w:highlight w:val="white"/>
        </w:rPr>
        <w:t xml:space="preserve">____________, действующего на основании ___________________, с другой стороны,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совместно </w:t>
      </w:r>
      <w:r>
        <w:rPr>
          <w:sz w:val="22"/>
          <w:szCs w:val="22"/>
          <w:highlight w:val="white"/>
        </w:rPr>
        <w:t xml:space="preserve">в дальнейшем </w:t>
      </w:r>
      <w:r>
        <w:rPr>
          <w:sz w:val="22"/>
          <w:szCs w:val="22"/>
          <w:highlight w:val="white"/>
        </w:rPr>
        <w:t xml:space="preserve">именуемые Стороны, а по отдельности Сторона, </w:t>
      </w:r>
      <w:r>
        <w:rPr>
          <w:sz w:val="22"/>
          <w:szCs w:val="22"/>
          <w:highlight w:val="white"/>
        </w:rPr>
        <w:br/>
      </w:r>
      <w:r>
        <w:rPr>
          <w:sz w:val="22"/>
          <w:szCs w:val="22"/>
          <w:highlight w:val="white"/>
          <w:lang w:eastAsia="en-US"/>
        </w:rPr>
        <w:t xml:space="preserve">по </w:t>
      </w:r>
      <w:r>
        <w:rPr>
          <w:sz w:val="22"/>
          <w:szCs w:val="22"/>
          <w:highlight w:val="white"/>
          <w:lang w:eastAsia="en-US"/>
        </w:rPr>
        <w:t xml:space="preserve">результатам </w:t>
      </w:r>
      <w:r>
        <w:rPr>
          <w:sz w:val="22"/>
          <w:szCs w:val="22"/>
          <w:highlight w:val="white"/>
          <w:lang w:eastAsia="en-US"/>
        </w:rPr>
        <w:t xml:space="preserve">проведенной Покупателем </w:t>
      </w:r>
      <w:r>
        <w:rPr>
          <w:sz w:val="22"/>
          <w:szCs w:val="22"/>
          <w:highlight w:val="white"/>
          <w:lang w:eastAsia="en-US"/>
        </w:rPr>
        <w:t xml:space="preserve">конкурентной</w:t>
      </w:r>
      <w:r>
        <w:rPr>
          <w:sz w:val="22"/>
          <w:szCs w:val="22"/>
          <w:highlight w:val="white"/>
          <w:lang w:eastAsia="en-US"/>
        </w:rPr>
        <w:t xml:space="preserve"> </w:t>
      </w:r>
      <w:r>
        <w:rPr>
          <w:sz w:val="22"/>
          <w:szCs w:val="22"/>
          <w:highlight w:val="white"/>
          <w:lang w:eastAsia="en-US"/>
        </w:rPr>
        <w:t xml:space="preserve">закупочной</w:t>
      </w:r>
      <w:r>
        <w:rPr>
          <w:sz w:val="22"/>
          <w:szCs w:val="22"/>
          <w:highlight w:val="white"/>
          <w:lang w:eastAsia="en-US"/>
        </w:rPr>
        <w:t xml:space="preserve"> </w:t>
      </w:r>
      <w:r>
        <w:rPr>
          <w:sz w:val="22"/>
          <w:szCs w:val="22"/>
          <w:highlight w:val="white"/>
          <w:lang w:eastAsia="en-US"/>
        </w:rPr>
        <w:t xml:space="preserve">процедуры </w:t>
      </w:r>
      <w:r>
        <w:rPr>
          <w:sz w:val="22"/>
          <w:szCs w:val="22"/>
          <w:highlight w:val="white"/>
          <w:lang w:eastAsia="en-US"/>
        </w:rPr>
        <w:t xml:space="preserve">по лоту</w:t>
      </w:r>
      <w:r>
        <w:rPr>
          <w:sz w:val="22"/>
          <w:szCs w:val="22"/>
          <w:highlight w:val="white"/>
          <w:lang w:eastAsia="en-US"/>
        </w:rPr>
        <w:t xml:space="preserve"> </w:t>
      </w:r>
      <w:r>
        <w:rPr>
          <w:sz w:val="22"/>
          <w:szCs w:val="22"/>
          <w:highlight w:val="white"/>
          <w:lang w:eastAsia="en-US"/>
        </w:rPr>
        <w:t xml:space="preserve">№ </w:t>
      </w:r>
      <w:r>
        <w:rPr>
          <w:sz w:val="22"/>
          <w:szCs w:val="22"/>
          <w:highlight w:val="white"/>
          <w:lang w:eastAsia="en-US"/>
        </w:rPr>
        <w:t xml:space="preserve">_____ и на основании </w:t>
      </w:r>
      <w:r>
        <w:rPr>
          <w:sz w:val="22"/>
          <w:szCs w:val="22"/>
          <w:highlight w:val="white"/>
          <w:lang w:eastAsia="en-US"/>
        </w:rPr>
        <w:t xml:space="preserve">протокола от ______ №______,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заключили настоящий </w:t>
      </w:r>
      <w:r>
        <w:rPr>
          <w:sz w:val="22"/>
          <w:szCs w:val="22"/>
          <w:highlight w:val="white"/>
        </w:rPr>
        <w:t xml:space="preserve">д</w:t>
      </w:r>
      <w:r>
        <w:rPr>
          <w:sz w:val="22"/>
          <w:szCs w:val="22"/>
          <w:highlight w:val="white"/>
        </w:rPr>
        <w:t xml:space="preserve">оговор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поставки </w:t>
      </w:r>
      <w:r>
        <w:rPr>
          <w:sz w:val="22"/>
          <w:szCs w:val="22"/>
          <w:highlight w:val="white"/>
        </w:rPr>
        <w:t xml:space="preserve">(далее – «Договор») о нижеследующем: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pacing w:val="10"/>
          <w:sz w:val="22"/>
          <w:szCs w:val="22"/>
          <w:highlight w:val="white"/>
        </w:rPr>
      </w:pPr>
      <w:r>
        <w:rPr>
          <w:spacing w:val="10"/>
          <w:sz w:val="22"/>
          <w:szCs w:val="22"/>
          <w:highlight w:val="white"/>
        </w:rPr>
      </w:r>
      <w:r>
        <w:rPr>
          <w:spacing w:val="10"/>
          <w:sz w:val="22"/>
          <w:szCs w:val="22"/>
          <w:highlight w:val="white"/>
        </w:rPr>
      </w:r>
      <w:r>
        <w:rPr>
          <w:spacing w:val="10"/>
          <w:sz w:val="22"/>
          <w:szCs w:val="22"/>
          <w:highlight w:val="white"/>
        </w:rPr>
      </w:r>
    </w:p>
    <w:p>
      <w:pPr>
        <w:ind w:firstLine="709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Термины и определения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«Акт входного контроля»</w:t>
      </w:r>
      <w:r>
        <w:rPr>
          <w:sz w:val="22"/>
          <w:szCs w:val="22"/>
          <w:highlight w:val="white"/>
          <w:lang w:eastAsia="en-US"/>
        </w:rPr>
        <w:t xml:space="preserve"> – документ, оформляемый Покупателем в одностороннем порядке при приемке поставленного Товара по количеству, качеству и комплектности.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567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«Гарантийный срок»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  <w:lang w:eastAsia="en-US"/>
        </w:rPr>
        <w:t xml:space="preserve">– период, в течение которого качество поставленного Товара должно соответствовать требованиям Договора и Применимого</w:t>
      </w:r>
      <w:r>
        <w:rPr>
          <w:sz w:val="22"/>
          <w:szCs w:val="22"/>
          <w:highlight w:val="white"/>
          <w:lang w:eastAsia="en-US"/>
        </w:rPr>
        <w:t xml:space="preserve"> права, и Поставщик и/ или изготовитель Товара 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Товара.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567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«Грузополучатели»</w:t>
      </w:r>
      <w:r>
        <w:rPr>
          <w:sz w:val="22"/>
          <w:szCs w:val="22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«Договор»</w:t>
      </w:r>
      <w:r>
        <w:rPr>
          <w:sz w:val="22"/>
          <w:szCs w:val="22"/>
          <w:highlight w:val="white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условии, </w:t>
      </w:r>
      <w:r>
        <w:rPr>
          <w:sz w:val="22"/>
          <w:szCs w:val="22"/>
          <w:highlight w:val="white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0" w:leader="none"/>
        </w:tabs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«Накладная ТОРГ-12» </w:t>
      </w:r>
      <w:r>
        <w:rPr>
          <w:sz w:val="22"/>
          <w:szCs w:val="22"/>
          <w:highlight w:val="white"/>
          <w:lang w:eastAsia="en-US"/>
        </w:rPr>
        <w:t xml:space="preserve">–</w:t>
      </w:r>
      <w:r>
        <w:rPr>
          <w:b/>
          <w:sz w:val="22"/>
          <w:szCs w:val="22"/>
          <w:highlight w:val="white"/>
          <w:lang w:eastAsia="en-US"/>
        </w:rPr>
        <w:t xml:space="preserve"> </w:t>
      </w:r>
      <w:r>
        <w:rPr>
          <w:sz w:val="22"/>
          <w:szCs w:val="22"/>
          <w:highlight w:val="white"/>
          <w:lang w:eastAsia="en-US"/>
        </w:rPr>
        <w:t xml:space="preserve">документ, оформляемый по унифицированной форме </w:t>
      </w:r>
      <w:r>
        <w:rPr>
          <w:sz w:val="22"/>
          <w:szCs w:val="22"/>
          <w:highlight w:val="white"/>
          <w:lang w:eastAsia="en-US"/>
        </w:rPr>
        <w:br/>
        <w:t xml:space="preserve">№ТОРГ-12 «Товарная накладная», утвержденной постановлением Госкомстата РФ </w:t>
      </w:r>
      <w:r>
        <w:rPr>
          <w:sz w:val="22"/>
          <w:szCs w:val="22"/>
          <w:highlight w:val="white"/>
          <w:lang w:eastAsia="en-US"/>
        </w:rPr>
        <w:br/>
        <w:t xml:space="preserve">от 25.12.1998 №132, подписываемый Сторонами после завершения приемки Товара по количеству, качеству и комплектности.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0"/>
        <w:ind w:left="0" w:right="0" w:firstLine="567"/>
        <w:jc w:val="both"/>
        <w:shd w:val="clear" w:color="ffffff" w:themeColor="background1" w:fill="ffffff" w:themeFill="background1"/>
        <w:tabs>
          <w:tab w:val="left" w:pos="0" w:leader="none"/>
        </w:tabs>
        <w:rPr>
          <w:b w:val="0"/>
          <w:bCs w:val="0"/>
          <w:sz w:val="24"/>
          <w:szCs w:val="24"/>
          <w:highlight w:val="white"/>
        </w:rPr>
      </w:pPr>
      <w:r>
        <w:rPr>
          <w:b/>
          <w:sz w:val="22"/>
          <w:szCs w:val="22"/>
          <w:highlight w:val="none"/>
          <w:lang w:eastAsia="en-US"/>
        </w:rPr>
        <w:t xml:space="preserve"> </w:t>
      </w:r>
      <w:r>
        <w:rPr>
          <w:b/>
          <w:sz w:val="22"/>
          <w:szCs w:val="22"/>
          <w:highlight w:val="white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 xml:space="preserve">«УПД» –</w:t>
      </w:r>
      <w:r>
        <w:rPr>
          <w:b w:val="0"/>
          <w:bCs w:val="0"/>
          <w:sz w:val="22"/>
          <w:szCs w:val="22"/>
          <w:lang w:eastAsia="en-US"/>
        </w:rPr>
        <w:t xml:space="preserve"> универсальный передаточный документ, утвержденный Приказом ФНС.</w:t>
      </w:r>
      <w:r>
        <w:rPr>
          <w:b w:val="0"/>
          <w:bCs w:val="0"/>
          <w:sz w:val="22"/>
          <w:szCs w:val="22"/>
          <w:highlight w:val="white"/>
          <w:lang w:eastAsia="en-US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</w:r>
      <w:r>
        <w:rPr>
          <w:b w:val="0"/>
          <w:bCs w:val="0"/>
          <w:sz w:val="24"/>
          <w:szCs w:val="24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«Отказ от Договора» </w:t>
      </w:r>
      <w:r>
        <w:rPr>
          <w:sz w:val="22"/>
          <w:szCs w:val="22"/>
          <w:highlight w:val="white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831"/>
        <w:ind w:firstLine="709"/>
        <w:jc w:val="both"/>
        <w:keepNext w:val="0"/>
        <w:spacing w:before="0"/>
        <w:shd w:val="clear" w:color="ffffff" w:themeColor="background1" w:fill="ffffff" w:themeFill="background1"/>
        <w:tabs>
          <w:tab w:val="left" w:pos="0" w:leader="none"/>
        </w:tabs>
        <w:rPr>
          <w:rFonts w:ascii="Times New Roman" w:hAnsi="Times New Roman"/>
          <w:b w:val="0"/>
          <w:color w:val="auto"/>
          <w:sz w:val="22"/>
          <w:szCs w:val="22"/>
          <w:highlight w:val="white"/>
        </w:rPr>
      </w:pPr>
      <w:r>
        <w:rPr>
          <w:rFonts w:ascii="Times New Roman" w:hAnsi="Times New Roman"/>
          <w:color w:val="auto"/>
          <w:sz w:val="22"/>
          <w:szCs w:val="22"/>
          <w:highlight w:val="white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2"/>
          <w:szCs w:val="22"/>
          <w:highlight w:val="white"/>
          <w:lang w:eastAsia="en-US"/>
        </w:rPr>
        <w:t xml:space="preserve">– часть Товара, единовременно поставляемая Покупателю Поставщиком, характеристики которой определяются Заявкой Покупателя в соответствии со 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2"/>
          <w:szCs w:val="22"/>
          <w:highlight w:val="white"/>
        </w:rPr>
      </w:r>
      <w:r>
        <w:rPr>
          <w:rFonts w:ascii="Times New Roman" w:hAnsi="Times New Roman"/>
          <w:b w:val="0"/>
          <w:color w:val="auto"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left" w:pos="0" w:leader="none"/>
        </w:tabs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«Применимое право»</w:t>
      </w:r>
      <w:r>
        <w:rPr>
          <w:sz w:val="22"/>
          <w:szCs w:val="22"/>
          <w:highlight w:val="white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</w:t>
      </w:r>
      <w:r>
        <w:rPr>
          <w:sz w:val="22"/>
          <w:szCs w:val="22"/>
          <w:highlight w:val="white"/>
          <w:lang w:eastAsia="en-US"/>
        </w:rPr>
        <w:t xml:space="preserve">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  <w:r>
        <w:rPr>
          <w:b/>
          <w:sz w:val="22"/>
          <w:szCs w:val="22"/>
          <w:highlight w:val="white"/>
          <w:lang w:eastAsia="en-US"/>
        </w:rPr>
        <w:t xml:space="preserve">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  <w:lang w:eastAsia="en-US"/>
        </w:rPr>
        <w:t xml:space="preserve">«Цена Договора»</w:t>
      </w:r>
      <w:r>
        <w:rPr>
          <w:sz w:val="22"/>
          <w:szCs w:val="22"/>
          <w:highlight w:val="white"/>
          <w:lang w:eastAsia="en-US"/>
        </w:rPr>
        <w:t xml:space="preserve"> – определяемая в соответствии с разделом 2 Дого</w:t>
      </w:r>
      <w:r>
        <w:rPr>
          <w:sz w:val="22"/>
          <w:szCs w:val="22"/>
          <w:highlight w:val="white"/>
          <w:lang w:eastAsia="en-US"/>
        </w:rPr>
        <w:t xml:space="preserve">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инфляционные риски на весь период действия Договора.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left" w:pos="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tabs>
          <w:tab w:val="num" w:pos="284" w:leader="none"/>
          <w:tab w:val="clear" w:pos="360" w:leader="none"/>
        </w:tabs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Предмет Договора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426"/>
        <w:jc w:val="both"/>
        <w:shd w:val="clear" w:color="ffffff" w:themeColor="background1" w:fill="ffffff" w:themeFill="background1"/>
        <w:tabs>
          <w:tab w:val="num" w:pos="426" w:leader="none"/>
          <w:tab w:val="left" w:pos="851" w:leader="none"/>
          <w:tab w:val="clear" w:pos="858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Поставщик обязуется в порядке и сроки, установленные Договором, передать в </w:t>
      </w:r>
      <w:r>
        <w:rPr>
          <w:bCs/>
          <w:sz w:val="22"/>
          <w:szCs w:val="22"/>
          <w:highlight w:val="white"/>
        </w:rPr>
        <w:t xml:space="preserve">собственность Покупателю</w:t>
      </w:r>
      <w:r>
        <w:rPr>
          <w:rFonts w:eastAsia="Calibri"/>
          <w:bCs/>
          <w:sz w:val="22"/>
          <w:szCs w:val="22"/>
          <w:highlight w:val="white"/>
          <w:lang w:eastAsia="en-US"/>
        </w:rPr>
        <w:t xml:space="preserve"> </w:t>
      </w:r>
      <w:r>
        <w:rPr>
          <w:rFonts w:eastAsia="Calibri"/>
          <w:bCs/>
          <w:sz w:val="22"/>
          <w:szCs w:val="22"/>
          <w:lang w:eastAsia="en-US"/>
        </w:rPr>
        <w:t xml:space="preserve">топливо</w:t>
      </w:r>
      <w:r>
        <w:rPr>
          <w:rFonts w:eastAsia="Calibri"/>
          <w:bCs/>
          <w:sz w:val="22"/>
          <w:szCs w:val="22"/>
          <w:lang w:eastAsia="en-US"/>
        </w:rPr>
        <w:t xml:space="preserve"> автомобильно</w:t>
      </w:r>
      <w:r>
        <w:rPr>
          <w:rFonts w:eastAsia="Calibri"/>
          <w:bCs/>
          <w:sz w:val="22"/>
          <w:szCs w:val="22"/>
          <w:lang w:eastAsia="en-US"/>
        </w:rPr>
        <w:t xml:space="preserve">е</w:t>
      </w:r>
      <w:r>
        <w:rPr>
          <w:rFonts w:eastAsia="Calibri"/>
          <w:bCs/>
          <w:sz w:val="22"/>
          <w:szCs w:val="22"/>
          <w:lang w:eastAsia="en-US"/>
        </w:rPr>
        <w:t xml:space="preserve"> (авто/доставка) </w:t>
      </w:r>
      <w:r>
        <w:rPr>
          <w:bCs/>
          <w:sz w:val="22"/>
          <w:szCs w:val="22"/>
          <w:highlight w:val="white"/>
        </w:rPr>
        <w:t xml:space="preserve"> (далее – Товар) в соответствии со Спецификацией (Приложение №1 к Договору), а Покупатель обязуется принять Товар и уплатить Цену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426"/>
        <w:jc w:val="both"/>
        <w:shd w:val="clear" w:color="ffffff" w:themeColor="background1" w:fill="ffffff" w:themeFill="background1"/>
        <w:tabs>
          <w:tab w:val="num" w:pos="426" w:leader="none"/>
          <w:tab w:val="left" w:pos="851" w:leader="none"/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Поставка Товара осуществляется партиями по заявкам Покупателя, оформляемым в соответствии со Спецификацией по форме Приложения №2 к Договору (далее – Заявка) и направляемым Поставщику в порядке и сроки, установленные пунктом 3.1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426"/>
        <w:jc w:val="both"/>
        <w:shd w:val="clear" w:color="ffffff" w:themeColor="background1" w:fill="ffffff" w:themeFill="background1"/>
        <w:tabs>
          <w:tab w:val="num" w:pos="426" w:leader="none"/>
          <w:tab w:val="left" w:pos="851" w:leader="none"/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Наименование, ассортимент и количество Товара, а также место его поставки и Грузополучатели указываются в Спецификации.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426"/>
        <w:jc w:val="both"/>
        <w:shd w:val="clear" w:color="ffffff" w:themeColor="background1" w:fill="ffffff" w:themeFill="background1"/>
        <w:tabs>
          <w:tab w:val="num" w:pos="426" w:leader="none"/>
          <w:tab w:val="left" w:pos="540" w:leader="none"/>
          <w:tab w:val="left" w:pos="851" w:leader="none"/>
          <w:tab w:val="clear" w:pos="858" w:leader="none"/>
        </w:tabs>
        <w:rPr>
          <w:sz w:val="22"/>
          <w:szCs w:val="22"/>
        </w:rPr>
      </w:pPr>
      <w:r>
        <w:rPr>
          <w:bCs/>
          <w:sz w:val="22"/>
          <w:szCs w:val="22"/>
          <w:highlight w:val="white"/>
        </w:rPr>
        <w:t xml:space="preserve">Общий срок поставки Товара: с даты заключения Договора по «</w:t>
      </w:r>
      <w:r>
        <w:rPr>
          <w:bCs/>
          <w:sz w:val="22"/>
          <w:szCs w:val="22"/>
          <w:highlight w:val="white"/>
        </w:rPr>
        <w:t xml:space="preserve">30</w:t>
      </w:r>
      <w:r>
        <w:rPr>
          <w:bCs/>
          <w:sz w:val="22"/>
          <w:szCs w:val="22"/>
          <w:highlight w:val="white"/>
        </w:rPr>
        <w:t xml:space="preserve">» мая </w:t>
      </w:r>
      <w:r>
        <w:rPr>
          <w:bCs/>
          <w:sz w:val="22"/>
          <w:szCs w:val="22"/>
          <w:highlight w:val="white"/>
        </w:rPr>
        <w:t xml:space="preserve">2026</w:t>
      </w:r>
      <w:r>
        <w:rPr>
          <w:bCs/>
          <w:sz w:val="22"/>
          <w:szCs w:val="22"/>
          <w:highlight w:val="white"/>
        </w:rPr>
        <w:t xml:space="preserve">г. </w:t>
      </w:r>
      <w:r>
        <w:rPr>
          <w:sz w:val="22"/>
          <w:szCs w:val="22"/>
        </w:rPr>
        <w:t xml:space="preserve"> С</w:t>
      </w:r>
      <w:r>
        <w:rPr>
          <w:sz w:val="22"/>
          <w:szCs w:val="22"/>
        </w:rPr>
        <w:t xml:space="preserve">рок поставки партии Товара</w:t>
      </w:r>
      <w:r>
        <w:rPr>
          <w:sz w:val="22"/>
          <w:szCs w:val="22"/>
        </w:rPr>
        <w:t xml:space="preserve"> по Заявке </w:t>
      </w:r>
      <w:r>
        <w:rPr>
          <w:sz w:val="22"/>
          <w:szCs w:val="22"/>
        </w:rPr>
        <w:t xml:space="preserve">составляет 5 (пять) </w:t>
      </w:r>
      <w:r>
        <w:rPr>
          <w:sz w:val="22"/>
          <w:szCs w:val="22"/>
        </w:rPr>
        <w:t xml:space="preserve">календарных</w:t>
      </w:r>
      <w:r>
        <w:rPr>
          <w:sz w:val="22"/>
          <w:szCs w:val="22"/>
        </w:rPr>
        <w:t xml:space="preserve"> дней с даты получения Поставщиком Заявки Покупателя.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1"/>
        </w:numPr>
        <w:ind w:left="0" w:firstLine="0"/>
        <w:jc w:val="center"/>
        <w:spacing w:before="240"/>
        <w:shd w:val="clear" w:color="ffffff" w:themeColor="background1" w:fill="ffffff" w:themeFill="background1"/>
        <w:tabs>
          <w:tab w:val="num" w:pos="284" w:leader="none"/>
          <w:tab w:val="clear" w:pos="360" w:leader="none"/>
        </w:tabs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Цена Договора и порядок расчетов</w:t>
      </w:r>
      <w:bookmarkStart w:id="0" w:name="_GoBack"/>
      <w:r>
        <w:rPr>
          <w:sz w:val="22"/>
          <w:szCs w:val="22"/>
        </w:rPr>
      </w:r>
      <w:bookmarkEnd w:id="0"/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  <w:t xml:space="preserve">Цена Договора</w:t>
      </w:r>
      <w:r>
        <w:rPr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является предельной и составляет </w:t>
      </w:r>
      <w:r>
        <w:rPr>
          <w:sz w:val="22"/>
          <w:szCs w:val="22"/>
          <w:highlight w:val="white"/>
        </w:rPr>
        <w:t xml:space="preserve">_______</w:t>
      </w:r>
      <w:r>
        <w:rPr>
          <w:bCs/>
          <w:sz w:val="22"/>
          <w:szCs w:val="22"/>
          <w:highlight w:val="white"/>
        </w:rPr>
        <w:t xml:space="preserve"> (</w:t>
      </w:r>
      <w:r>
        <w:rPr>
          <w:sz w:val="22"/>
          <w:szCs w:val="22"/>
          <w:highlight w:val="white"/>
        </w:rPr>
        <w:t xml:space="preserve">_____</w:t>
      </w:r>
      <w:r>
        <w:rPr>
          <w:sz w:val="22"/>
          <w:szCs w:val="22"/>
          <w:highlight w:val="white"/>
        </w:rPr>
        <w:t xml:space="preserve">_____</w:t>
      </w:r>
      <w:r>
        <w:rPr>
          <w:bCs/>
          <w:sz w:val="22"/>
          <w:szCs w:val="22"/>
          <w:highlight w:val="white"/>
        </w:rPr>
        <w:t xml:space="preserve">) рублей </w:t>
      </w:r>
      <w:r>
        <w:rPr>
          <w:sz w:val="22"/>
          <w:szCs w:val="22"/>
          <w:highlight w:val="white"/>
        </w:rPr>
        <w:t xml:space="preserve">___</w:t>
      </w:r>
      <w:r>
        <w:rPr>
          <w:bCs/>
          <w:sz w:val="22"/>
          <w:szCs w:val="22"/>
          <w:highlight w:val="white"/>
        </w:rPr>
        <w:t xml:space="preserve"> копеек</w:t>
      </w:r>
      <w:r>
        <w:rPr>
          <w:bCs/>
          <w:sz w:val="22"/>
          <w:szCs w:val="22"/>
          <w:highlight w:val="white"/>
        </w:rPr>
        <w:t xml:space="preserve">, в том числе </w:t>
      </w:r>
      <w:r>
        <w:rPr>
          <w:bCs/>
          <w:sz w:val="22"/>
          <w:szCs w:val="22"/>
          <w:highlight w:val="white"/>
        </w:rPr>
        <w:t xml:space="preserve">НДС</w:t>
      </w:r>
      <w:r>
        <w:rPr>
          <w:bCs/>
          <w:sz w:val="22"/>
          <w:szCs w:val="22"/>
          <w:highlight w:val="white"/>
        </w:rPr>
        <w:t xml:space="preserve"> (22%) составляет _______ (_________) рублей ___ копеек.</w:t>
      </w:r>
      <w:r>
        <w:rPr>
          <w:bCs/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num" w:pos="1134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Цена за единицу Товара определяется в Спецификации (Приложение №1 к Договору) в соответствии </w:t>
      </w:r>
      <w:r>
        <w:rPr>
          <w:sz w:val="22"/>
          <w:szCs w:val="22"/>
          <w:highlight w:val="white"/>
        </w:rPr>
        <w:t xml:space="preserve">с условиями проведенной конкурентной закупочной</w:t>
      </w:r>
      <w:r>
        <w:rPr>
          <w:sz w:val="22"/>
          <w:szCs w:val="22"/>
          <w:highlight w:val="white"/>
        </w:rPr>
        <w:t xml:space="preserve"> процедуры</w:t>
      </w:r>
      <w:r>
        <w:rPr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и является фиксированной в течение всего срока действия Договора. </w:t>
      </w:r>
      <w:r>
        <w:rPr>
          <w:sz w:val="22"/>
          <w:szCs w:val="22"/>
          <w:highlight w:val="white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не может превышать Цену Договора, указанную в пункте 2.1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clear" w:pos="85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Цена Договора включает в себя прибыль Поставщика, а также все расходы и затраты Поставщика на: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num" w:pos="0" w:leader="none"/>
          <w:tab w:val="num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- приобретение Товара;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num" w:pos="1134" w:leader="none"/>
          <w:tab w:val="left" w:pos="1418" w:leader="none"/>
        </w:tabs>
        <w:rPr>
          <w:bCs/>
          <w:color w:val="000000" w:themeColor="text1"/>
          <w:sz w:val="22"/>
          <w:szCs w:val="22"/>
          <w:highlight w:val="white"/>
        </w:rPr>
      </w:pPr>
      <w:r>
        <w:rPr>
          <w:bCs/>
          <w:color w:val="000000" w:themeColor="text1"/>
          <w:sz w:val="22"/>
          <w:szCs w:val="22"/>
          <w:highlight w:val="white"/>
        </w:rPr>
        <w:t xml:space="preserve">- транспортировку Товара до места поставки, погрузку; </w:t>
      </w:r>
      <w:r>
        <w:rPr>
          <w:bCs/>
          <w:color w:val="000000" w:themeColor="text1"/>
          <w:sz w:val="22"/>
          <w:szCs w:val="22"/>
          <w:highlight w:val="white"/>
        </w:rPr>
      </w:r>
      <w:r>
        <w:rPr>
          <w:bCs/>
          <w:color w:val="000000" w:themeColor="text1"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num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- подлежащие уплате налоги, сборы и пошлины (в том числе по таможенному оформлению Товара, если применимо);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num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- все прочие затраты и расходы Поставщика, 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none"/>
        </w:rPr>
        <w:t xml:space="preserve">Увеличение цены</w:t>
      </w:r>
      <w:r>
        <w:rPr>
          <w:sz w:val="22"/>
          <w:szCs w:val="22"/>
          <w:highlight w:val="white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Оплата Товара (партии Товара) осуществляется Покупателем на следующих условиях: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0" w:right="0" w:firstLine="360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709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 предоплата в разм</w:t>
      </w:r>
      <w:r>
        <w:rPr>
          <w:sz w:val="22"/>
          <w:szCs w:val="22"/>
          <w:highlight w:val="white"/>
        </w:rPr>
        <w:t xml:space="preserve">ере 50 % от стоимости Товара, подлежащего поставке, согласно поданной заявке, в течение 5 (пяти) рабочих дней с даты получения счета на оплату, предъявленного Поставщиком.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53"/>
        </w:numPr>
        <w:ind w:left="0" w:right="0" w:firstLine="360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709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с</w:t>
      </w:r>
      <w:r>
        <w:rPr>
          <w:sz w:val="22"/>
          <w:szCs w:val="22"/>
          <w:highlight w:val="white"/>
        </w:rPr>
        <w:t xml:space="preserve">умма окончательного платежа опре</w:t>
      </w:r>
      <w:r>
        <w:rPr>
          <w:sz w:val="22"/>
          <w:szCs w:val="22"/>
          <w:highlight w:val="white"/>
        </w:rPr>
        <w:t xml:space="preserve">деляется как разница между стоимостью фактического объема полученного Товара на дату поставки и суммой уплаченного авансового платежа, и подлежит оплате Покупателем на основании выставленных </w:t>
      </w:r>
      <w:r>
        <w:rPr>
          <w:sz w:val="22"/>
          <w:szCs w:val="22"/>
          <w:highlight w:val="white"/>
        </w:rPr>
        <w:t xml:space="preserve">счетов-фак</w:t>
      </w:r>
      <w:r>
        <w:rPr>
          <w:sz w:val="22"/>
          <w:szCs w:val="22"/>
          <w:highlight w:val="white"/>
        </w:rPr>
        <w:t xml:space="preserve">тур</w:t>
      </w:r>
      <w:r>
        <w:rPr>
          <w:sz w:val="22"/>
          <w:szCs w:val="22"/>
          <w:highlight w:val="white"/>
        </w:rPr>
        <w:t xml:space="preserve">, не позднее 10 числа месяца, следующего за месяцем поставки</w:t>
      </w:r>
      <w:r>
        <w:rPr>
          <w:sz w:val="22"/>
          <w:szCs w:val="22"/>
          <w:highlight w:val="none"/>
        </w:rPr>
        <w:t xml:space="preserve">;</w:t>
      </w:r>
      <w:r>
        <w:rPr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если по результатам закупки победителем признан субъект МСП - в течение 7 (семи) рабочих дней)</w:t>
      </w:r>
      <w:r>
        <w:rPr>
          <w:rFonts w:ascii="Times New Roman" w:hAnsi="Times New Roman" w:cs="Times New Roman"/>
          <w:sz w:val="24"/>
          <w:szCs w:val="24"/>
        </w:rPr>
        <w:t xml:space="preserve"> с даты </w:t>
      </w:r>
      <w:r>
        <w:rPr>
          <w:rFonts w:ascii="Times New Roman" w:hAnsi="Times New Roman" w:cs="Times New Roman"/>
          <w:sz w:val="24"/>
          <w:szCs w:val="24"/>
        </w:rPr>
        <w:t xml:space="preserve">подписания Покупателем (грузополучателем) товарной накладной по форме ТОРГ-12 (или УПД)</w:t>
      </w:r>
      <w:r>
        <w:rPr>
          <w:sz w:val="22"/>
          <w:szCs w:val="22"/>
          <w:highlight w:val="none"/>
        </w:rPr>
        <w:t xml:space="preserve">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none"/>
        </w:rPr>
      </w:r>
    </w:p>
    <w:p>
      <w:pPr>
        <w:pStyle w:val="1020"/>
        <w:numPr>
          <w:ilvl w:val="0"/>
          <w:numId w:val="53"/>
        </w:numPr>
        <w:ind w:left="0" w:right="0" w:firstLine="360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709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none"/>
        </w:rPr>
        <w:t xml:space="preserve">р</w:t>
      </w:r>
      <w:r>
        <w:rPr>
          <w:bCs/>
          <w:sz w:val="22"/>
          <w:szCs w:val="22"/>
          <w:highlight w:val="white"/>
        </w:rPr>
        <w:t xml:space="preserve">асчеты по Договору осуществляются в валюте Российской Федерации.</w:t>
      </w:r>
      <w:r>
        <w:rPr>
          <w:bCs/>
          <w:sz w:val="22"/>
          <w:szCs w:val="22"/>
          <w:highlight w:val="white"/>
        </w:rPr>
        <w:t xml:space="preserve"> 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Индексация Цены Договора не допускается.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716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обязан представить Покупателю </w:t>
      </w:r>
      <w:r>
        <w:rPr>
          <w:sz w:val="22"/>
          <w:szCs w:val="22"/>
          <w:highlight w:val="white"/>
        </w:rPr>
        <w:t xml:space="preserve">счета</w:t>
      </w:r>
      <w:r>
        <w:rPr>
          <w:bCs/>
          <w:sz w:val="22"/>
          <w:szCs w:val="22"/>
          <w:highlight w:val="white"/>
        </w:rPr>
        <w:t xml:space="preserve">-</w:t>
      </w:r>
      <w:r>
        <w:rPr>
          <w:sz w:val="22"/>
          <w:szCs w:val="22"/>
          <w:highlight w:val="white"/>
        </w:rPr>
        <w:t xml:space="preserve">фактуры</w:t>
      </w:r>
      <w:r>
        <w:rPr>
          <w:sz w:val="22"/>
          <w:szCs w:val="22"/>
          <w:highlight w:val="white"/>
        </w:rPr>
        <w:t xml:space="preserve"> (или универсальные передаточные документы – далее УПД)</w:t>
      </w:r>
      <w:r>
        <w:rPr>
          <w:sz w:val="22"/>
          <w:szCs w:val="22"/>
          <w:highlight w:val="white"/>
        </w:rPr>
        <w:t xml:space="preserve">, выставленные в сроки и офо</w:t>
      </w:r>
      <w:r>
        <w:rPr>
          <w:sz w:val="22"/>
          <w:szCs w:val="22"/>
          <w:highlight w:val="white"/>
        </w:rPr>
        <w:t xml:space="preserve">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</w:t>
      </w:r>
      <w:r>
        <w:rPr>
          <w:sz w:val="22"/>
          <w:szCs w:val="22"/>
          <w:highlight w:val="white"/>
        </w:rPr>
        <w:t xml:space="preserve">счета</w:t>
      </w:r>
      <w:r>
        <w:rPr>
          <w:bCs/>
          <w:sz w:val="22"/>
          <w:szCs w:val="22"/>
          <w:highlight w:val="white"/>
        </w:rPr>
        <w:t xml:space="preserve">-</w:t>
      </w:r>
      <w:r>
        <w:rPr>
          <w:sz w:val="22"/>
          <w:szCs w:val="22"/>
          <w:highlight w:val="white"/>
        </w:rPr>
        <w:t xml:space="preserve">фактуры</w:t>
      </w:r>
      <w:r>
        <w:rPr>
          <w:sz w:val="22"/>
          <w:szCs w:val="22"/>
          <w:highlight w:val="white"/>
        </w:rPr>
        <w:t xml:space="preserve">/ или УПД</w:t>
      </w:r>
      <w:r>
        <w:rPr>
          <w:sz w:val="22"/>
          <w:szCs w:val="22"/>
          <w:highlight w:val="white"/>
        </w:rPr>
        <w:t xml:space="preserve"> в течение 3 (трех) рабочих дней с даты получения соответствующего письменного требования Покупателя</w:t>
      </w:r>
      <w:r>
        <w:rPr>
          <w:sz w:val="22"/>
          <w:szCs w:val="22"/>
          <w:highlight w:val="white"/>
        </w:rPr>
        <w:t xml:space="preserve">.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num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</w:rPr>
        <w:t xml:space="preserve">В случае непредставления Поставщиком в течение 5 (пяти) календарных дней </w:t>
      </w:r>
      <w:r>
        <w:rPr>
          <w:sz w:val="22"/>
          <w:szCs w:val="22"/>
        </w:rPr>
        <w:t xml:space="preserve">с даты получения авансового платежа счёта-фактуры, подтверждающего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</w:t>
      </w:r>
      <w:r>
        <w:rPr>
          <w:sz w:val="22"/>
          <w:szCs w:val="22"/>
        </w:rPr>
        <w:t xml:space="preserve">суммой соответствующего авансового платежа, взятого без учета НДС.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Стороны обязуются по окончании месяца поставки производить сверку взаимора</w:t>
      </w:r>
      <w:r>
        <w:rPr>
          <w:sz w:val="22"/>
          <w:szCs w:val="22"/>
          <w:highlight w:val="white"/>
        </w:rPr>
        <w:t xml:space="preserve">счетов. Акты сверок оформляются Поставщиком, и не позднее 15-го числа месяца, следующего за месяцем поставки, направляются через систему электронного документооборота или по электронной почте, указанной в разделе 14, с последующим направлением оригинала. 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Покупатель вправе произвести сальдо взаимных обязательств Сторон путем уменьшения сумм причитающихся</w:t>
      </w:r>
      <w:r>
        <w:rPr>
          <w:sz w:val="22"/>
          <w:szCs w:val="22"/>
          <w:highlight w:val="white"/>
        </w:rPr>
        <w:t xml:space="preserve">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</w:t>
      </w:r>
      <w:r>
        <w:rPr>
          <w:sz w:val="22"/>
          <w:szCs w:val="22"/>
          <w:highlight w:val="white"/>
        </w:rPr>
        <w:t xml:space="preserve">ле (включая, но не ограничиваясь), суммы неотработанного аванса по Договору, суммы неустоек (пени, штрафы) за неисполнение и/ или ненадлежащее исполнение обязательств по Договору, стоимость работ по устранению недостатков Товара, поставленного Поставщиком.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  <w:highlight w:val="white"/>
        </w:rPr>
        <w:t xml:space="preserve">Покупатель направляет Поставщику уведомление о проведении сальдо взаимных обязательств Сторон по Договору.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709"/>
        <w:jc w:val="both"/>
        <w:shd w:val="clear" w:color="ffffff" w:themeColor="background1" w:fill="ffffff" w:themeFill="background1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tabs>
          <w:tab w:val="num" w:pos="284" w:leader="none"/>
          <w:tab w:val="clear" w:pos="360" w:leader="none"/>
        </w:tabs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Порядок и условия поставки Товара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Поставка Товара (партии Товара) осуществляется по Заявке в следующем порядке: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shd w:val="clear" w:color="ffffff" w:themeColor="background1" w:fill="ffffff" w:themeFill="background1"/>
        <w:rPr>
          <w:sz w:val="22"/>
          <w:szCs w:val="22"/>
          <w:highlight w:val="whit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sz w:val="22"/>
          <w:szCs w:val="22"/>
          <w:highlight w:val="white"/>
        </w:rPr>
        <w:t xml:space="preserve">Покупатель в срок не позднее </w:t>
      </w:r>
      <w:r>
        <w:rPr>
          <w:sz w:val="22"/>
          <w:szCs w:val="22"/>
        </w:rPr>
        <w:t xml:space="preserve">7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семи)</w:t>
      </w:r>
      <w:r>
        <w:rPr>
          <w:sz w:val="22"/>
          <w:szCs w:val="22"/>
          <w:highlight w:val="white"/>
        </w:rPr>
        <w:t xml:space="preserve"> календарных дней до предполагаемой даты поставки Товара (партии Товара) направляет Поставщику Заявку по электронной почте на адрес: </w:t>
      </w:r>
      <w:r>
        <w:rPr>
          <w:sz w:val="22"/>
          <w:szCs w:val="22"/>
          <w:highlight w:val="white"/>
          <w:u w:val="single"/>
        </w:rPr>
      </w:r>
      <w:r>
        <w:rPr>
          <w:sz w:val="22"/>
          <w:szCs w:val="22"/>
          <w:highlight w:val="white"/>
          <w:u w:val="singl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в течение 1 (одного) рабочего дня с даты получения Заявки подтверждает поставку Товара (партии Товара), указанного Покупателем в Заявке, по электронной почте на адрес: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993" w:leader="none"/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невозможности поставить Товар (партию Товара)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993" w:leader="none"/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случае, указанном в пункте 3.1.2</w:t>
      </w:r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  <w:t xml:space="preserve">Договора, Покупатель вправе по своему усмотрению: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left" w:pos="993" w:leader="none"/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3.1.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  <w:t xml:space="preserve">.1. Направить новую Заявку в порядке, установленном пунктом 3.1. Договора в согласованные с Поставщиком сроки;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3.1.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  <w:t xml:space="preserve">.2. Отказаться от Договора в порядке, установленном пунктом 11.2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clear" w:pos="85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 течение 5 (пяти) рабочих дней с даты заключения Договора </w:t>
      </w:r>
      <w:r>
        <w:rPr>
          <w:sz w:val="22"/>
          <w:szCs w:val="22"/>
          <w:highlight w:val="white"/>
        </w:rPr>
        <w:t xml:space="preserve">Стороны определяют своих представителей, уполномоченных подписывать Заявки (изменения к ним) и принимать Заявки к исполнению, и письменно сообщают друг другу</w:t>
      </w:r>
      <w:r>
        <w:rPr>
          <w:bCs/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контакты и должность таких представителей</w:t>
      </w:r>
      <w:r>
        <w:rPr>
          <w:sz w:val="22"/>
          <w:szCs w:val="22"/>
          <w:highlight w:val="white"/>
        </w:rPr>
        <w:t xml:space="preserve">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clear" w:pos="85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Качество, количество и ассортимент поставляемого по Договору Товара должны соответствовать Заявке, требованиям Договора, а также Применимого права.</w:t>
      </w:r>
      <w:r>
        <w:rPr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Некачественный Товар считается не поставленным.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Качество Товара должно соответствовать требованиям</w:t>
      </w:r>
      <w:r>
        <w:rPr>
          <w:sz w:val="22"/>
          <w:szCs w:val="22"/>
          <w:highlight w:val="white"/>
        </w:rPr>
        <w:t xml:space="preserve"> Технического регламента Таможенного Союза (ТР ТС 013/2011)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 </w:t>
      </w:r>
      <w:r>
        <w:rPr>
          <w:sz w:val="22"/>
          <w:szCs w:val="22"/>
          <w:highlight w:val="white"/>
          <w:lang w:val="en-US"/>
        </w:rPr>
        <w:t xml:space="preserve">N</w:t>
      </w:r>
      <w:r>
        <w:rPr>
          <w:sz w:val="22"/>
          <w:szCs w:val="22"/>
          <w:highlight w:val="white"/>
        </w:rPr>
        <w:t xml:space="preserve"> 826», государственным стандартам (ГОСТ), техническим условиям (ТУ, СТО).</w:t>
      </w:r>
      <w:r>
        <w:rPr>
          <w:bCs/>
          <w:sz w:val="22"/>
          <w:szCs w:val="22"/>
          <w:highlight w:val="white"/>
        </w:rPr>
        <w:t xml:space="preserve">Поставляе</w:t>
      </w:r>
      <w:r>
        <w:rPr>
          <w:bCs/>
          <w:sz w:val="22"/>
          <w:szCs w:val="22"/>
          <w:highlight w:val="white"/>
        </w:rPr>
        <w:t xml:space="preserve">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правами третьих лиц.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Одновременно с передачей Товара Поставщик обязан передать Покупателю оригиналы следующих относящихся к Товару документов: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clear" w:pos="177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сертификат качества в 1 (одном) экз.;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clear" w:pos="177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паспорт качества на русском языке в 1 (одном) экз.;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47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clear" w:pos="1353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  <w:t xml:space="preserve">накладная ТОРГ</w:t>
      </w:r>
      <w:r>
        <w:rPr>
          <w:sz w:val="22"/>
          <w:szCs w:val="22"/>
          <w:highlight w:val="white"/>
        </w:rPr>
        <w:t xml:space="preserve">-</w:t>
      </w:r>
      <w:r>
        <w:rPr>
          <w:sz w:val="22"/>
          <w:szCs w:val="22"/>
          <w:highlight w:val="white"/>
        </w:rPr>
        <w:t xml:space="preserve">12 в </w:t>
      </w:r>
      <w:r>
        <w:rPr>
          <w:sz w:val="22"/>
          <w:szCs w:val="22"/>
          <w:highlight w:val="white"/>
        </w:rPr>
        <w:t xml:space="preserve">1 (одном)</w:t>
      </w:r>
      <w:r>
        <w:rPr>
          <w:sz w:val="22"/>
          <w:szCs w:val="22"/>
          <w:highlight w:val="white"/>
        </w:rPr>
        <w:t xml:space="preserve"> экз.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clear" w:pos="1353" w:leader="none"/>
        </w:tabs>
        <w:rPr>
          <w:sz w:val="22"/>
          <w:szCs w:val="22"/>
          <w:highlight w:val="white"/>
        </w:rPr>
      </w:pPr>
      <w:r>
        <w:rPr>
          <w:color w:val="000000" w:themeColor="text1"/>
          <w:sz w:val="22"/>
          <w:szCs w:val="22"/>
          <w:highlight w:val="white"/>
        </w:rPr>
        <w:t xml:space="preserve">транспортная накладн</w:t>
      </w:r>
      <w:r>
        <w:rPr>
          <w:color w:val="000000" w:themeColor="text1"/>
          <w:sz w:val="22"/>
          <w:szCs w:val="22"/>
        </w:rPr>
        <w:t xml:space="preserve">ая</w:t>
      </w:r>
      <w:r>
        <w:rPr>
          <w:sz w:val="22"/>
          <w:szCs w:val="22"/>
          <w:highlight w:val="white"/>
        </w:rPr>
        <w:t xml:space="preserve"> в 1 (одном) экз.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7"/>
        <w:ind w:firstLine="709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highlight w:val="white"/>
        </w:rPr>
        <w:t xml:space="preserve">В случае отсутствия этих документов Покупатель вправе приостановить приемку Товара до момента их предоставления Поставщиком.</w:t>
      </w:r>
      <w:r>
        <w:rPr>
          <w:rFonts w:ascii="Times New Roman" w:hAnsi="Times New Roman" w:cs="Times New Roman"/>
          <w:sz w:val="22"/>
          <w:szCs w:val="22"/>
          <w:highlight w:val="white"/>
        </w:rPr>
      </w:r>
      <w:r>
        <w:rPr>
          <w:rFonts w:ascii="Times New Roman" w:hAnsi="Times New Roman" w:cs="Times New Roman"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</w:rPr>
      </w:r>
      <w:bookmarkStart w:id="1" w:name="_Ref361408474"/>
      <w:r>
        <w:rPr>
          <w:sz w:val="22"/>
          <w:szCs w:val="22"/>
        </w:rPr>
      </w:r>
      <w:bookmarkStart w:id="2" w:name="_Ref361408232"/>
      <w:r>
        <w:rPr>
          <w:bCs/>
          <w:sz w:val="22"/>
          <w:szCs w:val="22"/>
          <w:highlight w:val="white"/>
        </w:rPr>
        <w:t xml:space="preserve">Товар должен отгружаться Поставщиком в таре и упаковке, обеспечивающей полную сохранность Товара от всякого рода повреждений и порчи, с учетом возможных перегрузок и длительного хранения.</w:t>
      </w:r>
      <w:bookmarkEnd w:id="1"/>
      <w:r>
        <w:rPr>
          <w:bCs/>
          <w:sz w:val="22"/>
          <w:szCs w:val="22"/>
          <w:highlight w:val="white"/>
        </w:rPr>
        <w:t xml:space="preserve"> Поставщик обязан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Тара и упаковка Товара должны соответствовать требованиям Применимого права, предъявляемым к таре и упаковке соответствующего Товара. </w:t>
      </w:r>
      <w:r>
        <w:rPr>
          <w:bCs/>
          <w:sz w:val="22"/>
          <w:szCs w:val="22"/>
          <w:highlight w:val="white"/>
        </w:rPr>
        <w:t xml:space="preserve">Отдельные требования к упаковке и маркировке негабаритного Товара, а также любые другие специальные требования, помимо установленных в настоящем пункте Договора, указываются Сторонами в Спецификации (Приложение №1 к Договору) и в Заявке.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Поставщик обязан при организации транспортировки Товара соблюдать нормы и правила действующего законодательства и производить налив в очищенные внутри и снаружи автоцистерны. Маркировка и транспортировка Товара должна соответствовать ГОСТ 1510-22.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Налив в </w:t>
      </w:r>
      <w:r>
        <w:rPr>
          <w:bCs/>
          <w:sz w:val="22"/>
          <w:szCs w:val="22"/>
          <w:highlight w:val="white"/>
        </w:rPr>
        <w:t xml:space="preserve">автоцистерны</w:t>
      </w:r>
      <w:r>
        <w:rPr>
          <w:sz w:val="22"/>
          <w:szCs w:val="22"/>
          <w:highlight w:val="white"/>
        </w:rPr>
        <w:t xml:space="preserve">, доставка Товара </w:t>
      </w:r>
      <w:r>
        <w:rPr>
          <w:bCs/>
          <w:sz w:val="22"/>
          <w:szCs w:val="22"/>
          <w:highlight w:val="white"/>
        </w:rPr>
        <w:t xml:space="preserve">осуществляется</w:t>
      </w:r>
      <w:r>
        <w:rPr>
          <w:sz w:val="22"/>
          <w:szCs w:val="22"/>
          <w:highlight w:val="white"/>
        </w:rPr>
        <w:t xml:space="preserve"> Поставщиком. Стоимость налива, доставки Товара включена в Цену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Досрочная поставка Товара допускается только при условии получения Поставщиком письменного согласия Покупателя.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Датой поставки Товара является дата подписания Сторонами </w:t>
      </w:r>
      <w:r>
        <w:rPr>
          <w:sz w:val="22"/>
          <w:szCs w:val="22"/>
          <w:highlight w:val="white"/>
        </w:rPr>
        <w:t xml:space="preserve">Н</w:t>
      </w:r>
      <w:r>
        <w:rPr>
          <w:sz w:val="22"/>
          <w:szCs w:val="22"/>
          <w:highlight w:val="white"/>
        </w:rPr>
        <w:t xml:space="preserve">акладной</w:t>
      </w:r>
      <w:r>
        <w:rPr>
          <w:sz w:val="22"/>
          <w:szCs w:val="22"/>
          <w:highlight w:val="white"/>
        </w:rPr>
        <w:br/>
      </w:r>
      <w:r>
        <w:rPr>
          <w:sz w:val="22"/>
          <w:szCs w:val="22"/>
          <w:highlight w:val="white"/>
        </w:rPr>
        <w:t xml:space="preserve">ТОРГ</w:t>
      </w:r>
      <w:r>
        <w:rPr>
          <w:sz w:val="22"/>
          <w:szCs w:val="22"/>
          <w:highlight w:val="white"/>
        </w:rPr>
        <w:t xml:space="preserve">-</w:t>
      </w:r>
      <w:r>
        <w:rPr>
          <w:sz w:val="22"/>
          <w:szCs w:val="22"/>
          <w:highlight w:val="white"/>
        </w:rPr>
        <w:t xml:space="preserve">12</w:t>
      </w:r>
      <w:r>
        <w:rPr>
          <w:sz w:val="22"/>
          <w:szCs w:val="22"/>
          <w:highlight w:val="white"/>
        </w:rPr>
        <w:t xml:space="preserve">/ </w:t>
      </w:r>
      <w:r>
        <w:rPr>
          <w:sz w:val="22"/>
          <w:szCs w:val="22"/>
          <w:highlight w:val="white"/>
        </w:rPr>
        <w:t xml:space="preserve">или УПД.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  <w:tab w:val="left" w:pos="1276" w:leader="none"/>
        </w:tabs>
        <w:rPr>
          <w:color w:val="000000" w:themeColor="text1"/>
          <w:sz w:val="22"/>
          <w:szCs w:val="22"/>
          <w:highlight w:val="white"/>
        </w:rPr>
      </w:pPr>
      <w:r>
        <w:rPr>
          <w:color w:val="000000" w:themeColor="text1"/>
          <w:sz w:val="22"/>
          <w:szCs w:val="22"/>
          <w:highlight w:val="white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</w:t>
      </w:r>
      <w:r>
        <w:rPr>
          <w:color w:val="000000" w:themeColor="text1"/>
          <w:sz w:val="22"/>
          <w:szCs w:val="22"/>
          <w:highlight w:val="white"/>
        </w:rPr>
        <w:t xml:space="preserve"> даты подписания Сторонами </w:t>
      </w:r>
      <w:r>
        <w:rPr>
          <w:color w:val="000000" w:themeColor="text1"/>
          <w:sz w:val="22"/>
          <w:szCs w:val="22"/>
          <w:highlight w:val="white"/>
        </w:rPr>
        <w:t xml:space="preserve">Накладной ТОРГ-12</w:t>
      </w:r>
      <w:r>
        <w:rPr>
          <w:color w:val="000000" w:themeColor="text1"/>
          <w:sz w:val="22"/>
          <w:szCs w:val="22"/>
          <w:highlight w:val="white"/>
        </w:rPr>
        <w:t xml:space="preserve">/ или УПД</w:t>
      </w:r>
      <w:r>
        <w:rPr>
          <w:color w:val="000000" w:themeColor="text1"/>
          <w:sz w:val="22"/>
          <w:szCs w:val="22"/>
          <w:highlight w:val="white"/>
        </w:rPr>
        <w:t xml:space="preserve">, а также транспортной накладной, оформленной в  соответствии Приложением №4 к Правилам перевозок грузов автомобильным транспортом, утвержденным  Постановлением Правительства Российской Федерации от 21 декабря 2020 г. N 2200. </w:t>
      </w:r>
      <w:r>
        <w:rPr>
          <w:color w:val="000000" w:themeColor="text1"/>
          <w:sz w:val="22"/>
          <w:szCs w:val="22"/>
          <w:highlight w:val="white"/>
        </w:rPr>
      </w:r>
      <w:r>
        <w:rPr>
          <w:color w:val="000000" w:themeColor="text1"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2"/>
          <w:szCs w:val="22"/>
          <w:highlight w:val="white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затраты, связанные с хранением или отправкой (продажей) Товара, возмещает Поставщик.</w:t>
      </w:r>
      <w:bookmarkEnd w:id="2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Объем фактически п</w:t>
      </w:r>
      <w:r>
        <w:rPr>
          <w:sz w:val="22"/>
          <w:szCs w:val="22"/>
          <w:highlight w:val="white"/>
        </w:rPr>
        <w:t xml:space="preserve">оставленного Товара может отличаться от объема, указанного в Заявке, с учетом нетранзитных норм отгрузки автоцистерны (секция автоцистерны). При этом, Стороны дополнительное соглашение не подписывают, а Покупатель оплачивает фактически поставленный объем.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не вправе произвести замену страны происхождения Товара.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По настоящему договору у Пок</w:t>
      </w:r>
      <w:r>
        <w:rPr>
          <w:color w:val="000000"/>
          <w:sz w:val="22"/>
          <w:szCs w:val="22"/>
          <w:highlight w:val="white"/>
        </w:rPr>
        <w:t xml:space="preserve">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прекращаются с истечением срока действия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1"/>
        </w:numPr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Порядок и условия приемки Товара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Приемка и оценка качества Товара осуществляется Покупателем в соответствии с Инструкцией Госарб</w:t>
      </w:r>
      <w:r>
        <w:rPr>
          <w:sz w:val="22"/>
          <w:szCs w:val="22"/>
          <w:highlight w:val="white"/>
        </w:rPr>
        <w:t xml:space="preserve">итража при Совете Министров СССР от 15.06.1965 № П-6 и Инструкцией Госарбитража при Совете Министров СССР от 25.04.1966 № П-7 в их последних редакциях, в части не урегулированной Договором и не противоречащей действующему законодательству Российской Федера</w:t>
      </w:r>
      <w:r>
        <w:rPr>
          <w:sz w:val="22"/>
          <w:szCs w:val="22"/>
          <w:highlight w:val="white"/>
        </w:rPr>
        <w:t xml:space="preserve">ции, а также с соблюдением Инструкции Госкомнефтепродукта СССР от 15.08.1985 №06/21-8-446 «О порядке поступления, хранения, отпуска и учета нефти и нефтепродуктов на нефтебазах, наливных пунктах и автозаправочных станциях системы Госкомнефтепродукта СССР».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clear" w:pos="858" w:leader="none"/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Покупатель обязан проверить количество и качество</w:t>
      </w:r>
      <w:r>
        <w:rPr>
          <w:sz w:val="22"/>
          <w:szCs w:val="22"/>
          <w:highlight w:val="white"/>
        </w:rPr>
        <w:t xml:space="preserve"> принятого Товара, проверить соответствие Товара сведениям, указанным в транспортных и сопроводительных документах, а также принять Товар от транспортной организации с соблюдением законов, правил и иных правовых актов, регулирующих деятельность транспорта.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clear" w:pos="85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Приемка Товара производится 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обнаружения  недопоставки,  несоответствия качества  Товара, Покупатель вправе приостановить приемку Товара и уведомить об этом Поставщика  для дальнейшего участия в приемке.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num" w:pos="1134" w:leader="none"/>
          <w:tab w:val="num" w:pos="1851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обязан своими силами и за свой счет устранить выявленные несоответствия Товара, в том числе путем его замены на новый, в течен</w:t>
      </w:r>
      <w:r>
        <w:rPr>
          <w:sz w:val="22"/>
          <w:szCs w:val="22"/>
          <w:highlight w:val="white"/>
        </w:rPr>
        <w:t xml:space="preserve">ие 10 (десяти) календарных дней со дня составления Сторонами двустороннего акта, если иной способ и сроки не согласованы Сторонами. После устранения недостатков, несоответствий Товара его приемка осуществляется в соответствии с настоящим разделом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1134" w:leader="none"/>
          <w:tab w:val="num" w:pos="1851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неисполнения По</w:t>
      </w:r>
      <w:r>
        <w:rPr>
          <w:sz w:val="22"/>
          <w:szCs w:val="22"/>
          <w:highlight w:val="white"/>
        </w:rPr>
        <w:t xml:space="preserve">ставщиком обязательств по устранению выявленных недостатков, несоответствий Товара в порядке, предусмотренном пунктом 4.4 Договора, Покупатель вправе отказаться от приемки Товара, направив соответствующее письменное уведомление Поставщику. Уведомление о вы</w:t>
      </w:r>
      <w:r>
        <w:rPr>
          <w:sz w:val="22"/>
          <w:szCs w:val="22"/>
          <w:highlight w:val="white"/>
        </w:rPr>
        <w:t xml:space="preserve">зове представителя Поставщика должно быть направлено (передано) посредством доступных средств связи не позднее 24 часов. В случае неявки представителя Поставщика в срок, указанный в вызове Покупателя, Покупатель составляет Акт о приемке Товара единолично.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Если Покупатель отказывается от переданного Поставщиком Товара, он обязан незамедлительно пи</w:t>
      </w:r>
      <w:r>
        <w:rPr>
          <w:bCs/>
          <w:sz w:val="22"/>
          <w:szCs w:val="22"/>
          <w:highlight w:val="white"/>
        </w:rPr>
        <w:t xml:space="preserve">сьменно уведомить Поставщика о выявленных несоответствиях или недостатках Товара и обеспечить сохранность Товара (ответственное хранение). Вызов представителя Поставщика для участия в продолжении приемки Товара и составлении двустороннего акта обязателен.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Поставщи</w:t>
      </w:r>
      <w:r>
        <w:rPr>
          <w:bCs/>
          <w:sz w:val="22"/>
          <w:szCs w:val="22"/>
          <w:highlight w:val="white"/>
        </w:rPr>
        <w:t xml:space="preserve">к обязан вывезти Товар, принятый Покупателем (Грузополучателем) на ответственное хранение, или распорядиться им в течение 2 (двух) суток. Если Поставщик в этот срок не распорядится Товаром, Покупатель вправе реализовать его или возвратить Поставщику. Расхо</w:t>
      </w:r>
      <w:r>
        <w:rPr>
          <w:bCs/>
          <w:sz w:val="22"/>
          <w:szCs w:val="22"/>
          <w:highlight w:val="white"/>
        </w:rPr>
        <w:t xml:space="preserve">ды, понесенные Покупателем в связи с принятием Товара на ответственное хранение, его реализацией или возвратом Поставщику, подлежат возмещению Поставщиком. При этом вырученное от реализации Товара передается Поставщику за вычетом причитающегося Покупателю.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Покупатель вправе не пр</w:t>
      </w:r>
      <w:r>
        <w:rPr>
          <w:bCs/>
          <w:sz w:val="22"/>
          <w:szCs w:val="22"/>
          <w:highlight w:val="white"/>
        </w:rPr>
        <w:t xml:space="preserve">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просрочке поставки Товара по Заявке.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Гарантийный срок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Гарантийный срок на Товар, поставленный по Договору, составляет не менее 12 (двенадцати) месяцев и начинает течь с даты подписания Сторонами </w:t>
      </w:r>
      <w:r>
        <w:rPr>
          <w:sz w:val="22"/>
          <w:szCs w:val="22"/>
          <w:highlight w:val="white"/>
        </w:rPr>
        <w:t xml:space="preserve">Н</w:t>
      </w:r>
      <w:r>
        <w:rPr>
          <w:sz w:val="22"/>
          <w:szCs w:val="22"/>
          <w:highlight w:val="white"/>
        </w:rPr>
        <w:t xml:space="preserve">акладной ТОРГ-12</w:t>
      </w:r>
      <w:r>
        <w:rPr>
          <w:sz w:val="22"/>
          <w:szCs w:val="22"/>
          <w:highlight w:val="none"/>
        </w:rPr>
        <w:t xml:space="preserve">/ или </w:t>
      </w:r>
      <w:r>
        <w:rPr>
          <w:sz w:val="22"/>
          <w:szCs w:val="22"/>
          <w:highlight w:val="white"/>
        </w:rPr>
        <w:t xml:space="preserve">УПД. Гарантийный срок может быть продлен в соответствии с условиями Договора.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течение Гарантийного срока Поставщик гарантирует соответствие качества Товара</w:t>
      </w:r>
      <w:r>
        <w:rPr>
          <w:sz w:val="22"/>
          <w:szCs w:val="22"/>
          <w:highlight w:val="white"/>
        </w:rPr>
        <w:t xml:space="preserve"> требованиям Договора, технического паспорта и иных документов, относящихся к Товару, и Применимого права, возможность эксплуатации (использования) Товара в соответствии с его целевым назначением, а также несет безусловную ответственность за обнаруженные н</w:t>
      </w:r>
      <w:r>
        <w:rPr>
          <w:sz w:val="22"/>
          <w:szCs w:val="22"/>
          <w:highlight w:val="white"/>
        </w:rPr>
        <w:t xml:space="preserve">едостатки, несоответствия Товара, если не докажет, что такие недостатки, несоответствия явились следствием несоблюдения Покупателем требований по использованию Товара, установленных  документах, переданных Покупателю в соответствии с пунктом 3.5 Договора.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tabs>
          <w:tab w:val="left" w:pos="119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Ответственность Сторон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</w:t>
      </w:r>
      <w:r>
        <w:rPr>
          <w:sz w:val="22"/>
          <w:szCs w:val="22"/>
          <w:highlight w:val="white"/>
        </w:rPr>
        <w:t xml:space="preserve">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 случае</w:t>
      </w:r>
      <w:r>
        <w:rPr>
          <w:bCs/>
          <w:sz w:val="22"/>
          <w:szCs w:val="22"/>
          <w:highlight w:val="white"/>
        </w:rPr>
        <w:t xml:space="preserve"> нарушения Покупателем сроков оплаты, установленных разделом 2 Договора, Поставщик вправе требовать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просрочки, </w:t>
      </w:r>
      <w:r>
        <w:rPr>
          <w:sz w:val="22"/>
          <w:szCs w:val="22"/>
          <w:highlight w:val="white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2"/>
          <w:szCs w:val="22"/>
          <w:highlight w:val="white"/>
        </w:rPr>
        <w:t xml:space="preserve">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sz w:val="22"/>
          <w:szCs w:val="22"/>
        </w:rPr>
      </w:pPr>
      <w:r>
        <w:rPr>
          <w:bCs/>
          <w:sz w:val="22"/>
          <w:szCs w:val="22"/>
          <w:highlight w:val="white"/>
        </w:rPr>
        <w:t xml:space="preserve">В случае </w:t>
      </w:r>
      <w:r>
        <w:rPr>
          <w:sz w:val="22"/>
          <w:szCs w:val="22"/>
          <w:highlight w:val="white"/>
        </w:rPr>
        <w:t xml:space="preserve">нарушения Поставщиком </w:t>
      </w:r>
      <w:r>
        <w:rPr>
          <w:sz w:val="22"/>
          <w:szCs w:val="22"/>
          <w:highlight w:val="white"/>
        </w:rPr>
        <w:t xml:space="preserve"> обязательств по поставке Товара (нарушение срока поставки, недопоставка), в том числе сроков по Заявке, а также в случае несвоевременного устранения выявленных недостатков Товара, Покупатель вправе требовать уплаты Поставщиком неустойки: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righ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 -в размере 0,1 (ноль целых и одна десятая) процента от Цены Товара (партии Товара), указанного в Заявке, за каждый день просрочки – в случае, когда нарушение не привело к изменению срока поставки Товара по другой заявке;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righ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-в размере 0,2 (ноль целых и две десятых) процента от Цены Товара (партии Товара), указанного в Заявке, за каждый день просрочки – в случае, когда нарушение привело к изменению срока поставки Товара по другой заявке;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sz w:val="22"/>
          <w:szCs w:val="22"/>
          <w:highlight w:val="none"/>
        </w:rPr>
      </w:pPr>
      <w:r>
        <w:rPr>
          <w:bCs/>
          <w:sz w:val="22"/>
          <w:szCs w:val="22"/>
          <w:highlight w:val="none"/>
        </w:rPr>
        <w:t xml:space="preserve">Неустойка и/или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none"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 случае поступления Товара, не соответствующего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Товара, не соответствующего сведениям.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Если в результате составления и выставления Поставщиком </w:t>
      </w:r>
      <w:r>
        <w:rPr>
          <w:bCs/>
          <w:sz w:val="22"/>
          <w:szCs w:val="22"/>
          <w:highlight w:val="white"/>
        </w:rPr>
        <w:t xml:space="preserve">счетов-фактур</w:t>
      </w:r>
      <w:r>
        <w:rPr>
          <w:bCs/>
          <w:sz w:val="22"/>
          <w:szCs w:val="22"/>
          <w:highlight w:val="white"/>
        </w:rPr>
        <w:t xml:space="preserve">/ или УПД</w:t>
      </w:r>
      <w:r>
        <w:rPr>
          <w:bCs/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2"/>
          <w:szCs w:val="22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2"/>
          <w:szCs w:val="22"/>
          <w:highlight w:val="white"/>
        </w:rPr>
        <w:br/>
        <w:t xml:space="preserve">для ко</w:t>
      </w:r>
      <w:r>
        <w:rPr>
          <w:bCs/>
          <w:sz w:val="22"/>
          <w:szCs w:val="22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 случае нарушения Поставщиком сроков предоставления </w:t>
      </w:r>
      <w:r>
        <w:rPr>
          <w:bCs/>
          <w:sz w:val="22"/>
          <w:szCs w:val="22"/>
          <w:highlight w:val="white"/>
        </w:rPr>
        <w:t xml:space="preserve">счетов-фактур</w:t>
      </w:r>
      <w:r>
        <w:rPr>
          <w:bCs/>
          <w:sz w:val="22"/>
          <w:szCs w:val="22"/>
          <w:highlight w:val="white"/>
        </w:rPr>
        <w:t xml:space="preserve">/ или УПД</w:t>
      </w:r>
      <w:r>
        <w:rPr>
          <w:bCs/>
          <w:sz w:val="22"/>
          <w:szCs w:val="22"/>
          <w:highlight w:val="white"/>
        </w:rPr>
        <w:t xml:space="preserve">, установленных пунктом 2.</w:t>
      </w:r>
      <w:r>
        <w:rPr>
          <w:bCs/>
          <w:sz w:val="22"/>
          <w:szCs w:val="22"/>
          <w:highlight w:val="white"/>
        </w:rPr>
        <w:t xml:space="preserve">6 </w:t>
      </w:r>
      <w:r>
        <w:rPr>
          <w:bCs/>
          <w:sz w:val="22"/>
          <w:szCs w:val="22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Учитывая, что для Покупателя надлежащее и своевременное выполнение Поставщико</w:t>
      </w:r>
      <w:r>
        <w:rPr>
          <w:bCs/>
          <w:sz w:val="22"/>
          <w:szCs w:val="22"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2"/>
          <w:szCs w:val="22"/>
          <w:highlight w:val="white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2"/>
          <w:szCs w:val="22"/>
          <w:highlight w:val="white"/>
        </w:rPr>
        <w:br/>
        <w:t xml:space="preserve">в письменном требовании,</w:t>
      </w:r>
      <w:r>
        <w:rPr>
          <w:sz w:val="22"/>
          <w:szCs w:val="22"/>
          <w:highlight w:val="white"/>
        </w:rPr>
        <w:t xml:space="preserve"> </w:t>
      </w:r>
      <w:r>
        <w:rPr>
          <w:bCs/>
          <w:sz w:val="22"/>
          <w:szCs w:val="22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 случае нарушения Поставщиком обязательств по постав</w:t>
      </w:r>
      <w:r>
        <w:rPr>
          <w:bCs/>
          <w:sz w:val="22"/>
          <w:szCs w:val="22"/>
          <w:highlight w:val="white"/>
        </w:rPr>
        <w:t xml:space="preserve">ке Товара</w:t>
      </w:r>
      <w:r>
        <w:rPr>
          <w:bCs/>
          <w:sz w:val="22"/>
          <w:szCs w:val="22"/>
          <w:highlight w:val="white"/>
        </w:rPr>
        <w:t xml:space="preserve"> на срок свыше </w:t>
      </w:r>
      <w:r>
        <w:rPr>
          <w:bCs/>
          <w:sz w:val="22"/>
          <w:szCs w:val="22"/>
          <w:highlight w:val="white"/>
        </w:rPr>
        <w:t xml:space="preserve">30 </w:t>
      </w:r>
      <w:r>
        <w:rPr>
          <w:bCs/>
          <w:sz w:val="22"/>
          <w:szCs w:val="22"/>
          <w:highlight w:val="white"/>
        </w:rPr>
        <w:t xml:space="preserve">(</w:t>
      </w:r>
      <w:r>
        <w:rPr>
          <w:bCs/>
          <w:sz w:val="22"/>
          <w:szCs w:val="22"/>
          <w:highlight w:val="white"/>
        </w:rPr>
        <w:t xml:space="preserve">тридцати</w:t>
      </w:r>
      <w:r>
        <w:rPr>
          <w:bCs/>
          <w:sz w:val="22"/>
          <w:szCs w:val="22"/>
          <w:highlight w:val="white"/>
        </w:rPr>
        <w:t xml:space="preserve">) календарных дней, Покуп</w:t>
      </w:r>
      <w:r>
        <w:rPr>
          <w:bCs/>
          <w:sz w:val="22"/>
          <w:szCs w:val="22"/>
          <w:highlight w:val="white"/>
        </w:rPr>
        <w:t xml:space="preserve">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both"/>
        <w:shd w:val="clear" w:color="ffffff" w:themeColor="background1" w:fill="ffffff" w:themeFill="background1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Антикоррупционная оговорка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2"/>
          <w:szCs w:val="22"/>
          <w:highlight w:val="whit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</w:t>
      </w:r>
      <w:r>
        <w:rPr>
          <w:bCs/>
          <w:color w:val="000000"/>
          <w:sz w:val="22"/>
          <w:szCs w:val="22"/>
          <w:highlight w:val="white"/>
        </w:rPr>
        <w:t xml:space="preserve">С</w:t>
      </w:r>
      <w:r>
        <w:rPr>
          <w:bCs/>
          <w:color w:val="000000"/>
          <w:sz w:val="22"/>
          <w:szCs w:val="22"/>
          <w:highlight w:val="white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2"/>
          <w:szCs w:val="22"/>
          <w:highlight w:val="white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2"/>
          <w:szCs w:val="22"/>
          <w:highlight w:val="white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2"/>
          <w:szCs w:val="22"/>
          <w:highlight w:val="white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2"/>
          <w:szCs w:val="22"/>
          <w:highlight w:val="white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color w:val="000000"/>
          <w:sz w:val="22"/>
          <w:szCs w:val="22"/>
          <w:highlight w:val="white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2"/>
          <w:szCs w:val="22"/>
          <w:highlight w:val="white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Каналы связи Линия доверия Группы РусГидро: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Электронная почта: </w:t>
      </w:r>
      <w:hyperlink r:id="rId17" w:tooltip="mailto:ld@rushydro.ru" w:history="1">
        <w:r>
          <w:rPr>
            <w:rStyle w:val="1040"/>
            <w:sz w:val="22"/>
            <w:szCs w:val="22"/>
            <w:highlight w:val="white"/>
          </w:rPr>
          <w:t xml:space="preserve">ld@rushydro.ru</w:t>
        </w:r>
      </w:hyperlink>
      <w:r>
        <w:rPr>
          <w:sz w:val="22"/>
          <w:szCs w:val="22"/>
          <w:highlight w:val="white"/>
        </w:rPr>
        <w:t xml:space="preserve">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left="360" w:firstLine="0"/>
        <w:jc w:val="both"/>
        <w:shd w:val="clear" w:color="ffffff" w:themeColor="background1" w:fill="ffffff" w:themeFill="background1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non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Обстоятельства непреодолимой силы (форс-мажор)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Стороны освоб</w:t>
      </w:r>
      <w:r>
        <w:rPr>
          <w:bCs/>
          <w:sz w:val="22"/>
          <w:szCs w:val="22"/>
          <w:highlight w:val="white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2"/>
          <w:szCs w:val="22"/>
          <w:highlight w:val="white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2"/>
          <w:szCs w:val="22"/>
          <w:highlight w:val="white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2"/>
          <w:szCs w:val="22"/>
          <w:highlight w:val="white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2"/>
          <w:szCs w:val="22"/>
          <w:highlight w:val="white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Надлежащим (достаточным) доказательством наличия/ возникновения и про</w:t>
      </w:r>
      <w:r>
        <w:rPr>
          <w:bCs/>
          <w:sz w:val="22"/>
          <w:szCs w:val="22"/>
          <w:highlight w:val="white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Отсутствие уведомления или несвоевременное уведомление </w:t>
      </w:r>
      <w:r>
        <w:rPr>
          <w:bCs/>
          <w:sz w:val="22"/>
          <w:szCs w:val="22"/>
          <w:highlight w:val="white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2"/>
          <w:szCs w:val="22"/>
          <w:highlight w:val="white"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2"/>
          <w:szCs w:val="22"/>
          <w:highlight w:val="white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2"/>
          <w:szCs w:val="22"/>
          <w:highlight w:val="white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0" w:leader="none"/>
          <w:tab w:val="left" w:pos="568" w:leader="none"/>
          <w:tab w:val="left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При этом любая из Сторон вправе отказаться от исполнения Договора </w:t>
      </w:r>
      <w:r>
        <w:rPr>
          <w:bCs/>
          <w:sz w:val="22"/>
          <w:szCs w:val="22"/>
          <w:highlight w:val="white"/>
        </w:rPr>
        <w:br/>
        <w:t xml:space="preserve">в одностороннем внесудебном порядке.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ffffff" w:themeColor="background1" w:fill="ffffff" w:themeFill="background1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Особые положения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2"/>
          <w:szCs w:val="22"/>
          <w:highlight w:val="whit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2"/>
            <w:szCs w:val="22"/>
            <w:highlight w:val="white"/>
          </w:rPr>
          <w:t xml:space="preserve">№ 18162/09</w:t>
        </w:r>
      </w:hyperlink>
      <w:r>
        <w:rPr>
          <w:bCs/>
          <w:sz w:val="22"/>
          <w:szCs w:val="22"/>
          <w:highlight w:val="white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2"/>
            <w:szCs w:val="22"/>
            <w:highlight w:val="white"/>
          </w:rPr>
          <w:t xml:space="preserve">№ 15658/09</w:t>
        </w:r>
      </w:hyperlink>
      <w:r>
        <w:rPr>
          <w:bCs/>
          <w:sz w:val="22"/>
          <w:szCs w:val="22"/>
          <w:highlight w:val="white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2"/>
          <w:szCs w:val="22"/>
          <w:highlight w:val="white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2"/>
            <w:szCs w:val="22"/>
            <w:highlight w:val="white"/>
          </w:rPr>
          <w:t xml:space="preserve">Критери</w:t>
        </w:r>
      </w:hyperlink>
      <w:r>
        <w:rPr>
          <w:bCs/>
          <w:sz w:val="22"/>
          <w:szCs w:val="22"/>
          <w:highlight w:val="white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Поставщик</w:t>
      </w:r>
      <w:r>
        <w:rPr>
          <w:bCs/>
          <w:sz w:val="22"/>
          <w:szCs w:val="22"/>
          <w:highlight w:val="white"/>
        </w:rPr>
        <w:t xml:space="preserve">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9.1 Договора, а также обеспечить прекращение участия таких организаций в исполнении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 случ</w:t>
      </w:r>
      <w:r>
        <w:rPr>
          <w:bCs/>
          <w:sz w:val="22"/>
          <w:szCs w:val="22"/>
          <w:highlight w:val="white"/>
        </w:rPr>
        <w:t xml:space="preserve">ае нарушения Поставщиком обязательств, установленных пунктами 9.1, 9.2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2"/>
          <w:szCs w:val="22"/>
          <w:highlight w:val="white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 w:val="22"/>
          <w:szCs w:val="22"/>
          <w:highlight w:val="white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Поставщик обязан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2"/>
          <w:szCs w:val="22"/>
          <w:highlight w:val="white"/>
        </w:rPr>
        <w:t xml:space="preserve">дополнительно компенсировать Покупателю убытки, причиненные в результате нарушения обязательств, установленных пунктами 9.1, 9.2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Штраф, предусмотренный пунктом 9.4 Договора, оплачивается Поставщиком в течение 10 (десяти) рабочих д</w:t>
      </w:r>
      <w:r>
        <w:rPr>
          <w:bCs/>
          <w:sz w:val="22"/>
          <w:szCs w:val="22"/>
          <w:highlight w:val="white"/>
        </w:rPr>
        <w:t xml:space="preserve">ней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9.3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Покупатель вправе приостановить осуществление любых платежей по Договору, причитающ</w:t>
      </w:r>
      <w:r>
        <w:rPr>
          <w:bCs/>
          <w:sz w:val="22"/>
          <w:szCs w:val="22"/>
          <w:highlight w:val="white"/>
        </w:rPr>
        <w:t xml:space="preserve">ихся Поставщику, независимо от наличия оснований и наступления сроков таких платежей, до уплаты Поставщиком штрафа, предусмотренного пунктом 9.4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Независимо от других положений Договора, положения пунктов 9.4, 9.5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Заверения</w:t>
      </w:r>
      <w:r>
        <w:rPr>
          <w:b/>
          <w:sz w:val="22"/>
          <w:szCs w:val="22"/>
          <w:highlight w:val="white"/>
        </w:rPr>
        <w:t xml:space="preserve"> Сторон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Каждая</w:t>
      </w:r>
      <w:r>
        <w:rPr>
          <w:sz w:val="22"/>
          <w:szCs w:val="22"/>
          <w:highlight w:val="white"/>
        </w:rPr>
        <w:t xml:space="preserve"> из Сторон заявляет и подтверждает другой Стороне, что: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0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0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она обладает полной правоспособностью на заключение Договора </w:t>
      </w:r>
      <w:r>
        <w:rPr>
          <w:sz w:val="22"/>
          <w:szCs w:val="22"/>
          <w:highlight w:val="whit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0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она получила все корпоративные одобрения Договора органами управления </w:t>
      </w:r>
      <w:r>
        <w:rPr>
          <w:sz w:val="22"/>
          <w:szCs w:val="22"/>
          <w:highlight w:val="whit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2"/>
          <w:szCs w:val="22"/>
          <w:highlight w:val="white"/>
        </w:rPr>
        <w:br/>
        <w:t xml:space="preserve">и иных лиц, необходимые для заключения и исполнения Договора;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0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0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2"/>
          <w:szCs w:val="22"/>
          <w:highlight w:val="white"/>
        </w:rPr>
        <w:br/>
        <w:t xml:space="preserve">или в связи с ним.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заявляет и заверяет Покупателя в том, что на момент заключения Договора: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2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учредителем/ учредителями Поставщика являются лица, не являющиеся массовыми учредителем/ учредителями;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2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руководителем Поставщика является лицо, не являющееся массовым руководителем;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2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фактически находится по адресу, указанному в Едином государственном реестре юридических лиц;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2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своевременно и в полном объеме уплачивает налоги и сборы </w:t>
      </w:r>
      <w:r>
        <w:rPr>
          <w:sz w:val="22"/>
          <w:szCs w:val="22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7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не находится в процедуре несостоятельности (банкротства) </w:t>
      </w:r>
      <w:r>
        <w:rPr>
          <w:sz w:val="22"/>
          <w:szCs w:val="22"/>
          <w:highlight w:val="white"/>
        </w:rPr>
        <w:br/>
        <w:t xml:space="preserve">в соответствии с законодательством Российской Федерации; отсутствуют любые обстоятельства, включая, но не о</w:t>
      </w:r>
      <w:r>
        <w:rPr>
          <w:sz w:val="22"/>
          <w:szCs w:val="22"/>
          <w:highlight w:val="white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7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тщательно изучил всю информацию, связанную с Договором, </w:t>
      </w:r>
      <w:r>
        <w:rPr>
          <w:sz w:val="22"/>
          <w:szCs w:val="22"/>
          <w:highlight w:val="white"/>
        </w:rPr>
        <w:br/>
        <w:t xml:space="preserve">в том числе по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7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Поставщик своевременно и в полном объеме в соответствии </w:t>
      </w:r>
      <w:r>
        <w:rPr>
          <w:sz w:val="22"/>
          <w:szCs w:val="22"/>
          <w:highlight w:val="white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567" w:leader="none"/>
          <w:tab w:val="left" w:pos="709" w:leader="none"/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вся информация, предоставленная Покупателю, является достоверной, полной </w:t>
      </w:r>
      <w:r>
        <w:rPr>
          <w:sz w:val="22"/>
          <w:szCs w:val="22"/>
          <w:highlight w:val="white"/>
        </w:rPr>
        <w:br/>
        <w:t xml:space="preserve">и точной, и Поставщик не скрыл никаких обстоятельств, которые при их обнаружении могли </w:t>
      </w:r>
      <w:r>
        <w:rPr>
          <w:sz w:val="22"/>
          <w:szCs w:val="22"/>
          <w:highlight w:val="white"/>
        </w:rPr>
        <w:br/>
        <w:t xml:space="preserve">бы негативно повлиять на решение Покупателя заключить Договор на указанных в нем условиях.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заключении и исполнении Договора каждая Сторона полагается </w:t>
      </w:r>
      <w:r>
        <w:rPr>
          <w:sz w:val="22"/>
          <w:szCs w:val="22"/>
          <w:highlight w:val="white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случае, если </w:t>
      </w:r>
      <w:r>
        <w:rPr>
          <w:bCs/>
          <w:sz w:val="22"/>
          <w:szCs w:val="22"/>
          <w:highlight w:val="white"/>
        </w:rPr>
        <w:t xml:space="preserve">Поставщик </w:t>
      </w:r>
      <w:r>
        <w:rPr>
          <w:sz w:val="22"/>
          <w:szCs w:val="22"/>
          <w:highlight w:val="white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bCs/>
          <w:sz w:val="22"/>
          <w:szCs w:val="22"/>
          <w:highlight w:val="white"/>
        </w:rPr>
        <w:t xml:space="preserve">Поставщик </w:t>
      </w:r>
      <w:r>
        <w:rPr>
          <w:sz w:val="22"/>
          <w:szCs w:val="22"/>
          <w:highlight w:val="white"/>
        </w:rPr>
        <w:t xml:space="preserve">обязан </w:t>
      </w:r>
      <w:r>
        <w:rPr>
          <w:sz w:val="22"/>
          <w:szCs w:val="22"/>
          <w:highlight w:val="white"/>
        </w:rPr>
        <w:br/>
        <w:t xml:space="preserve">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Недостоверность, неточность или неполнота любых указанных в настоящем разделе Договора обстоятельств в значительной степени лишает получ</w:t>
      </w:r>
      <w:r>
        <w:rPr>
          <w:sz w:val="22"/>
          <w:szCs w:val="22"/>
          <w:highlight w:val="white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418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П</w:t>
      </w:r>
      <w:r>
        <w:rPr>
          <w:b/>
          <w:sz w:val="22"/>
          <w:szCs w:val="22"/>
          <w:highlight w:val="white"/>
        </w:rPr>
        <w:t xml:space="preserve">рекращение (расторжение) Договора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Договор может быть прекращен (расторгнут) по соглашению Сторон. Сторо</w:t>
      </w:r>
      <w:r>
        <w:rPr>
          <w:sz w:val="22"/>
          <w:szCs w:val="22"/>
          <w:highlight w:val="white"/>
        </w:rPr>
        <w:t xml:space="preserve">на, имеющая намерение расторгнуть Договор, направляет письменное уведомление об этом другой Стороне в порядке, предусмотренном пунктом 13.7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2"/>
          <w:szCs w:val="22"/>
          <w:highlight w:val="white"/>
        </w:rPr>
        <w:t xml:space="preserve">–</w:t>
      </w:r>
      <w:r>
        <w:rPr>
          <w:sz w:val="22"/>
          <w:szCs w:val="22"/>
          <w:highlight w:val="white"/>
        </w:rPr>
        <w:t xml:space="preserve">получателем в течение 30 (тридцати) календарных дней со дня его получения.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</w:t>
      </w:r>
      <w:r>
        <w:rPr>
          <w:sz w:val="22"/>
          <w:szCs w:val="22"/>
          <w:highlight w:val="white"/>
        </w:rPr>
        <w:t xml:space="preserve">за 30 (тридцать) календарных дней до предполагаемой даты расторжения Договора. 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709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нарушение Поставщиком общего срока поставки Товара по Договору, а также промежуточных сроков поставки Товара (партий Товара), установленных Заявками Покупателя, более чем на 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  <w:t xml:space="preserve">0 (</w:t>
      </w:r>
      <w:r>
        <w:rPr>
          <w:sz w:val="22"/>
          <w:szCs w:val="22"/>
          <w:highlight w:val="white"/>
        </w:rPr>
        <w:t xml:space="preserve">тридцать</w:t>
      </w:r>
      <w:r>
        <w:rPr>
          <w:sz w:val="22"/>
          <w:szCs w:val="22"/>
          <w:highlight w:val="white"/>
        </w:rPr>
        <w:t xml:space="preserve">) календарных дней по причинам, не зависящим от Покупателя;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Товара влечет нарушение сроков поставки Товара более чем на </w:t>
      </w:r>
      <w:r>
        <w:rPr>
          <w:sz w:val="22"/>
          <w:szCs w:val="22"/>
          <w:highlight w:val="white"/>
        </w:rPr>
        <w:t xml:space="preserve">3</w:t>
      </w:r>
      <w:r>
        <w:rPr>
          <w:sz w:val="22"/>
          <w:szCs w:val="22"/>
          <w:highlight w:val="white"/>
        </w:rPr>
        <w:t xml:space="preserve">0 (</w:t>
      </w:r>
      <w:r>
        <w:rPr>
          <w:sz w:val="22"/>
          <w:szCs w:val="22"/>
          <w:highlight w:val="white"/>
        </w:rPr>
        <w:t xml:space="preserve">тридцать</w:t>
      </w:r>
      <w:r>
        <w:rPr>
          <w:sz w:val="22"/>
          <w:szCs w:val="22"/>
          <w:highlight w:val="white"/>
        </w:rPr>
        <w:t xml:space="preserve">) календарных дней, либо такие недостатки являются неустранимыми;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установление в ходе исполнения Договора фактов несоответствия Поставщика установленным документацией о закупке требованиям к участникам закупки и/ или предоставлени</w:t>
      </w:r>
      <w:r>
        <w:rPr>
          <w:sz w:val="22"/>
          <w:szCs w:val="22"/>
          <w:highlight w:val="white"/>
        </w:rPr>
        <w:t xml:space="preserve">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10 Договора, и имеющих существенное значение для его заключения и исполнения.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отказа Покупателя от Договора в случаях, предусмотренных пунктами 11.2, 11.3 Договора, последний считается прекращенным (расторгнутым) со дня, следующего </w:t>
      </w:r>
      <w:r>
        <w:rPr>
          <w:sz w:val="22"/>
          <w:szCs w:val="22"/>
          <w:highlight w:val="white"/>
        </w:rPr>
        <w:t xml:space="preserve">за днем получения Поставщиком уведомления Покупателя об отказе от Договора (исполнения Договора).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С даты прекращения (расторжения) Договора Поставщик обязан прекратить поставку Товара.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44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shd w:val="clear" w:color="ffffff" w:themeColor="background1" w:fill="ffffff" w:themeFill="background1"/>
        <w:tabs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прекращении (расторжении) Договора по основаниям, указанным </w:t>
      </w:r>
      <w:r>
        <w:rPr>
          <w:sz w:val="22"/>
          <w:szCs w:val="22"/>
          <w:highlight w:val="white"/>
        </w:rPr>
        <w:br/>
        <w:t xml:space="preserve">в настоящем разделе Договора, все обязательства Сторон по Договору считаются прекратившимися, за и</w:t>
      </w:r>
      <w:r>
        <w:rPr>
          <w:sz w:val="22"/>
          <w:szCs w:val="22"/>
          <w:highlight w:val="white"/>
        </w:rPr>
        <w:t xml:space="preserve">сключением обязательств по незавершенным расчетам, гарантийным обязательствам Поставщика в соответствии с разделом 5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widowControl/>
        <w:tabs>
          <w:tab w:val="left" w:pos="113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Разрешение споров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Все споры, разногласия и требования, возникающие между Сторонами </w:t>
      </w:r>
      <w:r>
        <w:rPr>
          <w:bCs/>
          <w:sz w:val="22"/>
          <w:szCs w:val="22"/>
          <w:highlight w:val="white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Споры, указанные в пункте 12.1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Сторонами применяется обязательный </w:t>
      </w:r>
      <w:r>
        <w:rPr>
          <w:bCs/>
          <w:sz w:val="22"/>
          <w:szCs w:val="22"/>
          <w:highlight w:val="white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Срок для рассмотрения претензии 15 (пятнадцать) рабочих дней со дня </w:t>
      </w:r>
      <w:r>
        <w:rPr>
          <w:bCs/>
          <w:sz w:val="22"/>
          <w:szCs w:val="22"/>
          <w:highlight w:val="white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2"/>
          <w:szCs w:val="22"/>
          <w:highlight w:val="white"/>
        </w:rPr>
        <w:br/>
        <w:t xml:space="preserve">с иском в суд.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ind w:left="0"/>
        <w:jc w:val="both"/>
        <w:shd w:val="clear" w:color="ffffff" w:themeColor="background1" w:fill="ffffff" w:themeFill="background1"/>
        <w:widowControl/>
        <w:tabs>
          <w:tab w:val="left" w:pos="142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Заключительные положения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Договор вступает в силу с даты его подписания Сторонами и действует </w:t>
      </w:r>
      <w:r>
        <w:rPr>
          <w:sz w:val="22"/>
          <w:szCs w:val="22"/>
          <w:highlight w:val="white"/>
        </w:rPr>
        <w:br/>
        <w:t xml:space="preserve">по «</w:t>
      </w:r>
      <w:r>
        <w:rPr>
          <w:sz w:val="22"/>
          <w:szCs w:val="22"/>
          <w:highlight w:val="white"/>
        </w:rPr>
        <w:t xml:space="preserve">___________</w:t>
      </w:r>
      <w:r>
        <w:rPr>
          <w:sz w:val="22"/>
          <w:szCs w:val="22"/>
          <w:highlight w:val="white"/>
        </w:rPr>
        <w:t xml:space="preserve">» </w:t>
      </w:r>
      <w:r>
        <w:rPr>
          <w:sz w:val="22"/>
          <w:szCs w:val="22"/>
          <w:highlight w:val="white"/>
        </w:rPr>
        <w:t xml:space="preserve">______________2026</w:t>
      </w:r>
      <w:r>
        <w:rPr>
          <w:sz w:val="22"/>
          <w:szCs w:val="22"/>
          <w:highlight w:val="white"/>
        </w:rPr>
        <w:t xml:space="preserve"> г., а в части не исполненных обязательств - до полного их исполнения Сторонами.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Все изменения и</w:t>
      </w:r>
      <w:r>
        <w:rPr>
          <w:sz w:val="22"/>
          <w:szCs w:val="22"/>
          <w:highlight w:val="white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</w:t>
      </w:r>
      <w:r>
        <w:rPr>
          <w:sz w:val="22"/>
          <w:szCs w:val="22"/>
          <w:highlight w:val="white"/>
        </w:rPr>
        <w:t xml:space="preserve">, за исключением случаев изменения реквизитов Сторон, предусмотренных пунктом 13.6 Договора. </w:t>
      </w:r>
      <w:r>
        <w:rPr>
          <w:sz w:val="22"/>
          <w:szCs w:val="22"/>
          <w:highlight w:val="none"/>
        </w:rPr>
        <w:t xml:space="preserve">           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 случае наличия любых расхождений между содержанием Договора </w:t>
      </w:r>
      <w:r>
        <w:rPr>
          <w:sz w:val="22"/>
          <w:szCs w:val="22"/>
          <w:highlight w:val="white"/>
        </w:rPr>
        <w:br/>
        <w:t xml:space="preserve">и приложений к нему, приоритет имеет текст Договора.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Обмен информацией между Сторонами по любым вопросам, связанным </w:t>
      </w:r>
      <w:r>
        <w:rPr>
          <w:sz w:val="22"/>
          <w:szCs w:val="22"/>
          <w:highlight w:val="white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2"/>
          <w:szCs w:val="22"/>
          <w:highlight w:val="white"/>
        </w:rPr>
        <w:br/>
        <w:t xml:space="preserve">в письменной форме в порядке, предусмотрен</w:t>
      </w:r>
      <w:r>
        <w:rPr>
          <w:sz w:val="22"/>
          <w:szCs w:val="22"/>
          <w:highlight w:val="white"/>
        </w:rPr>
        <w:t xml:space="preserve">ном пунктом 13.7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</w:rPr>
      </w:r>
      <w:bookmarkStart w:id="3" w:name="_Ref361338004"/>
      <w:r>
        <w:rPr>
          <w:sz w:val="22"/>
          <w:szCs w:val="22"/>
          <w:highlight w:val="white"/>
        </w:rPr>
        <w:t xml:space="preserve">Стороны обязуются уведомлять друг друга об изменении адреса и/ или реквизитов, указанных в разделе 14 Договора, не позднее 3 (трех) рабочих дней после такого изменения в порядке, установленном пунктом 13.7 Договора.</w:t>
      </w:r>
      <w:bookmarkEnd w:id="3"/>
      <w:r>
        <w:rPr>
          <w:sz w:val="22"/>
          <w:szCs w:val="22"/>
          <w:highlight w:val="white"/>
        </w:rPr>
        <w:t xml:space="preserve">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</w:rPr>
      </w:r>
      <w:bookmarkStart w:id="4" w:name="_Ref361338019"/>
      <w:r>
        <w:rPr>
          <w:sz w:val="22"/>
          <w:szCs w:val="22"/>
          <w:highlight w:val="white"/>
        </w:rPr>
        <w:t xml:space="preserve">Письма, уведомления и/ или сообщения направляются Стороне-получателю следующими способами: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1560" w:leader="none"/>
          <w:tab w:val="clear" w:pos="4690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Заказным почтовым отправлением с уведомлением о вручении </w:t>
      </w:r>
      <w:r>
        <w:rPr>
          <w:sz w:val="22"/>
          <w:szCs w:val="22"/>
          <w:highlight w:val="white"/>
        </w:rPr>
        <w:t xml:space="preserve">по адресу ее места нахождения/ почтовому адресу, указанному в разделе 14 Договора, или в ранее полученном уведомлении Стороны об изменении адреса </w:t>
      </w:r>
      <w:r>
        <w:rPr>
          <w:bCs/>
          <w:sz w:val="22"/>
          <w:szCs w:val="22"/>
          <w:highlight w:val="white"/>
        </w:rPr>
        <w:t xml:space="preserve">– </w:t>
      </w:r>
      <w:r>
        <w:rPr>
          <w:sz w:val="22"/>
          <w:szCs w:val="22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</w:t>
      </w:r>
      <w:r>
        <w:rPr>
          <w:sz w:val="22"/>
          <w:szCs w:val="22"/>
          <w:highlight w:val="white"/>
        </w:rPr>
        <w:t xml:space="preserve">от принятия такого почтового отправления адресатом/ факта отсутствия адресата по указанному адресу;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1560" w:leader="none"/>
          <w:tab w:val="clear" w:pos="4690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</w:rPr>
      </w:r>
      <w:bookmarkStart w:id="5" w:name="_Ref361338032"/>
      <w:r>
        <w:rPr>
          <w:sz w:val="22"/>
          <w:szCs w:val="22"/>
        </w:rPr>
      </w:r>
      <w:bookmarkEnd w:id="4"/>
      <w:r>
        <w:rPr>
          <w:bCs/>
          <w:sz w:val="22"/>
          <w:szCs w:val="22"/>
          <w:highlight w:val="white"/>
        </w:rPr>
        <w:t xml:space="preserve">Доставкой лично или курьером Стороны-отправителя </w:t>
      </w:r>
      <w:r>
        <w:rPr>
          <w:sz w:val="22"/>
          <w:szCs w:val="22"/>
          <w:highlight w:val="white"/>
        </w:rPr>
        <w:t xml:space="preserve">по адресу ее места нахождения/ почтовому адресу, указанному в разделе 15 Договора, или в ранее полученном уведомлении Стороны об изменении адреса</w:t>
      </w:r>
      <w:r>
        <w:rPr>
          <w:bCs/>
          <w:sz w:val="22"/>
          <w:szCs w:val="22"/>
          <w:highlight w:val="white"/>
        </w:rPr>
        <w:t xml:space="preserve"> – в дату и время фактического приема уведомления Стороной-получателем с отметкой о получении;</w:t>
      </w:r>
      <w:bookmarkEnd w:id="5"/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2"/>
          <w:numId w:val="1"/>
        </w:numPr>
        <w:ind w:left="0" w:firstLine="709"/>
        <w:jc w:val="both"/>
        <w:shd w:val="clear" w:color="ffffff" w:themeColor="background1" w:fill="ffffff" w:themeFill="background1"/>
        <w:tabs>
          <w:tab w:val="num" w:pos="1560" w:leader="none"/>
          <w:tab w:val="clear" w:pos="4690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Посредством электронной почты (</w:t>
      </w:r>
      <w:r>
        <w:rPr>
          <w:bCs/>
          <w:sz w:val="22"/>
          <w:szCs w:val="22"/>
          <w:highlight w:val="white"/>
          <w:lang w:val="en-US"/>
        </w:rPr>
        <w:t xml:space="preserve">e</w:t>
      </w:r>
      <w:r>
        <w:rPr>
          <w:bCs/>
          <w:sz w:val="22"/>
          <w:szCs w:val="22"/>
          <w:highlight w:val="white"/>
        </w:rPr>
        <w:t xml:space="preserve">-</w:t>
      </w:r>
      <w:r>
        <w:rPr>
          <w:bCs/>
          <w:sz w:val="22"/>
          <w:szCs w:val="22"/>
          <w:highlight w:val="white"/>
          <w:lang w:val="en-US"/>
        </w:rPr>
        <w:t xml:space="preserve">mail</w:t>
      </w:r>
      <w:r>
        <w:rPr>
          <w:bCs/>
          <w:sz w:val="22"/>
          <w:szCs w:val="22"/>
          <w:highlight w:val="whit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ind w:left="0" w:firstLine="709"/>
        <w:jc w:val="both"/>
        <w:shd w:val="clear" w:color="ffffff" w:themeColor="background1" w:fill="ffffff" w:themeFill="background1"/>
        <w:tabs>
          <w:tab w:val="left" w:pos="0" w:leader="none"/>
          <w:tab w:val="left" w:pos="1418" w:leader="none"/>
          <w:tab w:val="left" w:pos="1701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13.7.1 – 13.7.2 Договора.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Во избежание сомнений, кроме случаев, ког</w:t>
      </w:r>
      <w:r>
        <w:rPr>
          <w:bCs/>
          <w:sz w:val="22"/>
          <w:szCs w:val="22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Cs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 </w:t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  <w:t xml:space="preserve">Стороны договорились в рамках исполнения Договора</w:t>
      </w:r>
      <w:r>
        <w:rPr>
          <w:bCs/>
          <w:sz w:val="22"/>
          <w:szCs w:val="22"/>
          <w:highlight w:val="white"/>
        </w:rPr>
        <w:t xml:space="preserve">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</w:t>
      </w:r>
      <w:r>
        <w:rPr>
          <w:bCs/>
          <w:sz w:val="22"/>
          <w:szCs w:val="22"/>
          <w:highlight w:val="white"/>
        </w:rPr>
        <w:t xml:space="preserve">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Поставщиком</w:t>
      </w:r>
      <w:r>
        <w:rPr>
          <w:bCs/>
          <w:sz w:val="22"/>
          <w:szCs w:val="22"/>
          <w:highlight w:val="white"/>
        </w:rPr>
        <w:t xml:space="preserve">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Сторон.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pStyle w:val="1020"/>
        <w:numPr>
          <w:ilvl w:val="1"/>
          <w:numId w:val="1"/>
        </w:numPr>
        <w:ind w:left="0" w:firstLine="709"/>
        <w:jc w:val="both"/>
        <w:tabs>
          <w:tab w:val="num" w:pos="709" w:leader="none"/>
          <w:tab w:val="clear" w:pos="858" w:leader="none"/>
        </w:tabs>
        <w:rPr>
          <w:b w:val="0"/>
          <w:bCs w:val="0"/>
          <w:i w:val="0"/>
          <w:sz w:val="22"/>
          <w:szCs w:val="22"/>
        </w:rPr>
      </w:pPr>
      <w:r>
        <w:rPr>
          <w:b w:val="0"/>
          <w:bCs w:val="0"/>
          <w:i w:val="0"/>
          <w:iCs w:val="0"/>
          <w:sz w:val="22"/>
          <w:szCs w:val="22"/>
          <w:highlight w:val="white"/>
        </w:rPr>
        <w:t xml:space="preserve">Договор составлен в 2 (двух) оригинальных экземплярах, имеющих равную юридическую силу, по 1 (одному) для каждой из Сторон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.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 </w:t>
      </w:r>
      <w:r>
        <w:rPr>
          <w:b w:val="0"/>
          <w:bCs w:val="0"/>
          <w:i w:val="0"/>
          <w:iCs w:val="0"/>
          <w:sz w:val="22"/>
          <w:szCs w:val="22"/>
          <w:highlight w:val="white"/>
        </w:rPr>
        <w:t xml:space="preserve">При согласии сторон и</w:t>
      </w:r>
      <w:r>
        <w:rPr>
          <w:b w:val="0"/>
          <w:bCs w:val="0"/>
          <w:i w:val="0"/>
          <w:iCs w:val="0"/>
          <w:sz w:val="22"/>
          <w:szCs w:val="22"/>
          <w:highlight w:val="none"/>
        </w:rPr>
        <w:t xml:space="preserve"> </w:t>
      </w:r>
      <w:r>
        <w:rPr>
          <w:b w:val="0"/>
          <w:bCs w:val="0"/>
          <w:i w:val="0"/>
          <w:iCs w:val="0"/>
          <w:sz w:val="22"/>
          <w:szCs w:val="22"/>
          <w:highlight w:val="white"/>
        </w:rPr>
        <w:t xml:space="preserve">наличия технической возможности Договор заключается в электронной форме посредством Системы ЭДО-Контур. Диадок</w:t>
      </w:r>
      <w:r>
        <w:rPr>
          <w:b w:val="0"/>
          <w:bCs w:val="0"/>
          <w:i w:val="0"/>
          <w:iCs w:val="0"/>
          <w:sz w:val="22"/>
          <w:szCs w:val="22"/>
        </w:rPr>
        <w:t xml:space="preserve"> </w:t>
      </w:r>
      <w:r>
        <w:rPr>
          <w:b w:val="0"/>
          <w:bCs w:val="0"/>
          <w:i w:val="0"/>
          <w:iCs w:val="0"/>
          <w:sz w:val="22"/>
          <w:szCs w:val="22"/>
          <w:highlight w:val="white"/>
        </w:rPr>
        <w:t xml:space="preserve">система электронного юридически значимого документооборота (https://diadoc.kontur.ru))</w:t>
      </w:r>
      <w:r>
        <w:rPr>
          <w:b w:val="0"/>
          <w:bCs w:val="0"/>
          <w:i w:val="0"/>
          <w:iCs w:val="0"/>
          <w:sz w:val="22"/>
          <w:szCs w:val="22"/>
        </w:rPr>
        <w:t xml:space="preserve">.</w:t>
      </w:r>
      <w:r>
        <w:rPr>
          <w:b w:val="0"/>
          <w:bCs w:val="0"/>
          <w:i w:val="0"/>
          <w:sz w:val="22"/>
          <w:szCs w:val="22"/>
        </w:rPr>
      </w:r>
      <w:r>
        <w:rPr>
          <w:b w:val="0"/>
          <w:bCs w:val="0"/>
          <w:i w:val="0"/>
          <w:sz w:val="22"/>
          <w:szCs w:val="22"/>
        </w:rPr>
      </w:r>
    </w:p>
    <w:p>
      <w:pPr>
        <w:ind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num" w:pos="709" w:leader="none"/>
          <w:tab w:val="left" w:pos="1276" w:leader="none"/>
        </w:tabs>
        <w:rPr>
          <w:b w:val="0"/>
          <w:bCs w:val="0"/>
          <w:i w:val="0"/>
          <w:iCs w:val="0"/>
          <w:sz w:val="22"/>
          <w:szCs w:val="22"/>
          <w:highlight w:val="white"/>
        </w:rPr>
      </w:pPr>
      <w:r>
        <w:rPr>
          <w:b w:val="0"/>
          <w:bCs w:val="0"/>
          <w:i w:val="0"/>
          <w:iCs w:val="0"/>
          <w:sz w:val="22"/>
          <w:szCs w:val="22"/>
          <w:highlight w:val="white"/>
        </w:rPr>
      </w:r>
      <w:r>
        <w:rPr>
          <w:b w:val="0"/>
          <w:bCs w:val="0"/>
          <w:i w:val="0"/>
          <w:iCs w:val="0"/>
          <w:sz w:val="22"/>
          <w:szCs w:val="22"/>
          <w:highlight w:val="white"/>
        </w:rPr>
      </w:r>
      <w:r>
        <w:rPr>
          <w:b w:val="0"/>
          <w:bCs w:val="0"/>
          <w:i w:val="0"/>
          <w:iCs w:val="0"/>
          <w:sz w:val="22"/>
          <w:szCs w:val="22"/>
          <w:highlight w:val="white"/>
        </w:rPr>
      </w:r>
    </w:p>
    <w:p>
      <w:pPr>
        <w:ind w:left="360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1276" w:leader="none"/>
        </w:tabs>
        <w:rPr>
          <w:b/>
          <w:bCs/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 </w:t>
      </w:r>
      <w:r>
        <w:rPr>
          <w:b/>
          <w:bCs/>
          <w:sz w:val="22"/>
          <w:szCs w:val="22"/>
          <w:highlight w:val="white"/>
        </w:rPr>
        <w:t xml:space="preserve">Список приложений 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2694" w:leader="none"/>
        </w:tabs>
        <w:rPr>
          <w:sz w:val="22"/>
          <w:szCs w:val="22"/>
          <w:highlight w:val="white"/>
        </w:rPr>
      </w:pPr>
      <w:r>
        <w:rPr>
          <w:rFonts w:eastAsia="Calibri"/>
          <w:sz w:val="22"/>
          <w:szCs w:val="22"/>
          <w:highlight w:val="white"/>
          <w:lang w:eastAsia="en-US"/>
        </w:rPr>
        <w:t xml:space="preserve">Приложение № 1 – Спецификация;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widowControl/>
        <w:tabs>
          <w:tab w:val="left" w:pos="0" w:leader="none"/>
          <w:tab w:val="left" w:pos="2694" w:leader="none"/>
        </w:tabs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Приложение № 2 –</w:t>
      </w:r>
      <w:r>
        <w:rPr>
          <w:rFonts w:eastAsia="Calibri"/>
          <w:sz w:val="22"/>
          <w:szCs w:val="22"/>
          <w:highlight w:val="white"/>
          <w:lang w:eastAsia="en-US"/>
        </w:rPr>
        <w:t xml:space="preserve"> Форма Заявки на поставку Товара.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bCs/>
          <w:sz w:val="22"/>
          <w:szCs w:val="22"/>
          <w:highlight w:val="white"/>
        </w:rPr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p>
      <w:pPr>
        <w:pStyle w:val="1020"/>
        <w:numPr>
          <w:ilvl w:val="0"/>
          <w:numId w:val="1"/>
        </w:numPr>
        <w:ind w:left="0" w:firstLine="0"/>
        <w:jc w:val="center"/>
        <w:shd w:val="clear" w:color="ffffff" w:themeColor="background1" w:fill="ffffff" w:themeFill="background1"/>
        <w:widowControl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Адреса и платежные реквизиты Сторон</w:t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pStyle w:val="1020"/>
        <w:ind w:left="0" w:firstLine="709"/>
        <w:shd w:val="clear" w:color="ffffff" w:themeColor="background1" w:fill="ffffff" w:themeFill="background1"/>
        <w:widowControl/>
        <w:tabs>
          <w:tab w:val="left" w:pos="426" w:leader="none"/>
        </w:tabs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tbl>
      <w:tblPr>
        <w:tblStyle w:val="1008"/>
        <w:tblW w:w="0" w:type="auto"/>
        <w:tblLook w:val="04A0" w:firstRow="1" w:lastRow="0" w:firstColumn="1" w:lastColumn="0" w:noHBand="0" w:noVBand="1"/>
      </w:tblPr>
      <w:tblGrid>
        <w:gridCol w:w="4816"/>
        <w:gridCol w:w="481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sz w:val="22"/>
                <w:szCs w:val="22"/>
                <w:highlight w:val="white"/>
              </w:rPr>
              <w:t xml:space="preserve">Покупатель: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sz w:val="22"/>
                <w:szCs w:val="22"/>
                <w:highlight w:val="white"/>
              </w:rPr>
              <w:t xml:space="preserve">Поставщик: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b/>
                <w:sz w:val="22"/>
                <w:szCs w:val="22"/>
                <w:highlight w:val="white"/>
              </w:rPr>
              <w:t xml:space="preserve">АО «ДГК»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Место нахождения: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Российская Федерация, г. Хабаровск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Адрес: 680000, Хабаровский край,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г. Хабаровск, ул. Фрунзе, д.49.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ОГРН 1051401746769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ИНН 1434031363/ КПП 272101001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КПП КН 997650001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р/с 407 028 10 27 000 000 88 18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Дальневосточный Банк ПАО Сбербанка РФ г. Хабаровск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к/с 301 018 106 000 000 00 608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БИК 040813608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Е-mail: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Место нахождения 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ОГРН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ИНН </w:t>
            </w:r>
            <w:r>
              <w:rPr>
                <w:sz w:val="22"/>
                <w:szCs w:val="22"/>
                <w:highlight w:val="white"/>
              </w:rPr>
              <w:t xml:space="preserve">/ КПП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р/сч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к/ сч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 БИК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</w:rPr>
              <w:t xml:space="preserve">Е-mail: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_______________ /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sz w:val="22"/>
                <w:szCs w:val="22"/>
                <w:highlight w:val="white"/>
              </w:rPr>
              <w:t xml:space="preserve">_______________ /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ind w:firstLine="709"/>
        <w:shd w:val="clear" w:color="ffffff" w:themeColor="background1" w:fill="ffffff" w:themeFill="background1"/>
        <w:rPr>
          <w:sz w:val="22"/>
          <w:szCs w:val="22"/>
          <w:highlight w:val="white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567" w:right="851" w:bottom="399" w:left="1418" w:header="284" w:footer="567" w:gutter="0"/>
          <w:cols w:num="1" w:sep="0" w:space="708" w:equalWidth="1"/>
          <w:docGrid w:linePitch="360"/>
          <w:titlePg/>
        </w:sect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Приложение № 1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 Договору поставки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 «____» _____20 _ г. </w:t>
      </w:r>
      <w:r>
        <w:rPr>
          <w:sz w:val="22"/>
          <w:szCs w:val="22"/>
          <w:highlight w:val="white"/>
        </w:rPr>
        <w:t xml:space="preserve">№ </w:t>
      </w:r>
      <w:r>
        <w:rPr>
          <w:sz w:val="22"/>
          <w:szCs w:val="22"/>
          <w:highlight w:val="white"/>
        </w:rPr>
        <w:t xml:space="preserve">_____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СПЕЦИФИКАЦИЯ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tbl>
      <w:tblPr>
        <w:tblW w:w="4991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118"/>
        <w:gridCol w:w="1150"/>
        <w:gridCol w:w="993"/>
        <w:gridCol w:w="1275"/>
        <w:gridCol w:w="1060"/>
        <w:gridCol w:w="925"/>
        <w:gridCol w:w="2552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Перечень сопроводительных документов (в том числе подтверждающих качество Товара)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709"/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709"/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</w:tbl>
    <w:p>
      <w:pPr>
        <w:ind w:firstLine="709"/>
        <w:shd w:val="clear" w:color="ffffff" w:themeColor="background1" w:fill="ffffff" w:themeFill="background1"/>
        <w:rPr>
          <w:i/>
          <w:sz w:val="22"/>
          <w:szCs w:val="22"/>
          <w:highlight w:val="white"/>
        </w:rPr>
      </w:pPr>
      <w:r>
        <w:rPr>
          <w:i/>
          <w:sz w:val="22"/>
          <w:szCs w:val="22"/>
          <w:highlight w:val="white"/>
        </w:rPr>
      </w:r>
      <w:r>
        <w:rPr>
          <w:i/>
          <w:sz w:val="22"/>
          <w:szCs w:val="22"/>
          <w:highlight w:val="white"/>
        </w:rPr>
      </w:r>
      <w:r>
        <w:rPr>
          <w:i/>
          <w:sz w:val="22"/>
          <w:szCs w:val="22"/>
          <w:highlight w:val="white"/>
        </w:rPr>
      </w:r>
    </w:p>
    <w:p>
      <w:pPr>
        <w:jc w:val="both"/>
        <w:shd w:val="clear" w:color="ffffff" w:themeColor="background1" w:fill="ffffff" w:themeFill="background1"/>
        <w:rPr>
          <w:i/>
          <w:sz w:val="22"/>
          <w:szCs w:val="22"/>
          <w:highlight w:val="white"/>
        </w:rPr>
      </w:pPr>
      <w:r>
        <w:rPr>
          <w:i/>
          <w:sz w:val="22"/>
          <w:szCs w:val="22"/>
          <w:highlight w:val="white"/>
        </w:rPr>
        <w:t xml:space="preserve">[В </w:t>
      </w:r>
      <w:r>
        <w:rPr>
          <w:i/>
          <w:sz w:val="22"/>
          <w:szCs w:val="22"/>
          <w:highlight w:val="white"/>
        </w:rPr>
        <w:t xml:space="preserve">Спецификацию </w:t>
      </w:r>
      <w:r>
        <w:rPr>
          <w:i/>
          <w:sz w:val="22"/>
          <w:szCs w:val="22"/>
          <w:highlight w:val="white"/>
        </w:rPr>
        <w:t xml:space="preserve">при необходимости включаются требования к </w:t>
      </w:r>
      <w:r>
        <w:rPr>
          <w:i/>
          <w:sz w:val="22"/>
          <w:szCs w:val="22"/>
          <w:highlight w:val="white"/>
        </w:rPr>
        <w:t xml:space="preserve">Товару</w:t>
      </w:r>
      <w:r>
        <w:rPr>
          <w:i/>
          <w:sz w:val="22"/>
          <w:szCs w:val="22"/>
          <w:highlight w:val="white"/>
        </w:rPr>
        <w:t xml:space="preserve">, перечень нормативных документов, которым долж</w:t>
      </w:r>
      <w:r>
        <w:rPr>
          <w:i/>
          <w:sz w:val="22"/>
          <w:szCs w:val="22"/>
          <w:highlight w:val="white"/>
        </w:rPr>
        <w:t xml:space="preserve">ен с</w:t>
      </w:r>
      <w:r>
        <w:rPr>
          <w:i/>
          <w:sz w:val="22"/>
          <w:szCs w:val="22"/>
          <w:highlight w:val="white"/>
        </w:rPr>
        <w:t xml:space="preserve">оответствовать </w:t>
      </w:r>
      <w:r>
        <w:rPr>
          <w:i/>
          <w:sz w:val="22"/>
          <w:szCs w:val="22"/>
          <w:highlight w:val="white"/>
        </w:rPr>
        <w:t xml:space="preserve">Товар</w:t>
      </w:r>
      <w:r>
        <w:rPr>
          <w:i/>
          <w:sz w:val="22"/>
          <w:szCs w:val="22"/>
          <w:highlight w:val="white"/>
        </w:rPr>
        <w:t xml:space="preserve"> (ГОСТ, ТУ) и иные сведения, имеющие значение для Договора]</w:t>
      </w:r>
      <w:r>
        <w:rPr>
          <w:i/>
          <w:sz w:val="22"/>
          <w:szCs w:val="22"/>
          <w:highlight w:val="white"/>
        </w:rPr>
      </w:r>
      <w:r>
        <w:rPr>
          <w:i/>
          <w:sz w:val="22"/>
          <w:szCs w:val="22"/>
          <w:highlight w:val="white"/>
        </w:rPr>
      </w:r>
    </w:p>
    <w:p>
      <w:pPr>
        <w:ind w:firstLine="709"/>
        <w:jc w:val="both"/>
        <w:shd w:val="clear" w:color="ffffff" w:themeColor="background1" w:fill="ffffff" w:themeFill="background1"/>
        <w:rPr>
          <w:i/>
          <w:sz w:val="22"/>
          <w:szCs w:val="22"/>
          <w:highlight w:val="white"/>
        </w:rPr>
      </w:pPr>
      <w:r>
        <w:rPr>
          <w:i/>
          <w:sz w:val="22"/>
          <w:szCs w:val="22"/>
          <w:highlight w:val="white"/>
        </w:rPr>
        <w:t xml:space="preserve"> </w:t>
      </w:r>
      <w:r>
        <w:rPr>
          <w:i/>
          <w:sz w:val="22"/>
          <w:szCs w:val="22"/>
          <w:highlight w:val="white"/>
        </w:rPr>
      </w:r>
      <w:r>
        <w:rPr>
          <w:i/>
          <w:sz w:val="22"/>
          <w:szCs w:val="22"/>
          <w:highlight w:val="white"/>
        </w:rPr>
      </w:r>
    </w:p>
    <w:p>
      <w:pPr>
        <w:ind w:firstLine="709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Cs/>
          <w:sz w:val="22"/>
          <w:szCs w:val="22"/>
          <w:highlight w:val="white"/>
        </w:rPr>
        <w:outlineLvl w:val="0"/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ffffff" w:fill="ffffff"/>
            <w:tcW w:w="4996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Покупатель</w:t>
            </w:r>
            <w:r>
              <w:rPr>
                <w:b/>
                <w:sz w:val="22"/>
                <w:szCs w:val="22"/>
                <w:highlight w:val="white"/>
              </w:rPr>
              <w:t xml:space="preserve">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_____________________/_____________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709"/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Поставщик: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_____________________/____________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709"/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</w:tbl>
    <w:p>
      <w:pPr>
        <w:ind w:firstLine="709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widowControl/>
        <w:rPr>
          <w:rFonts w:eastAsia="Calibri"/>
          <w:b/>
          <w:sz w:val="22"/>
          <w:szCs w:val="22"/>
          <w:highlight w:val="white"/>
        </w:rPr>
      </w:pPr>
      <w:r>
        <w:rPr>
          <w:rFonts w:eastAsia="Calibri"/>
          <w:b/>
          <w:sz w:val="22"/>
          <w:szCs w:val="22"/>
          <w:highlight w:val="white"/>
          <w:lang w:eastAsia="en-US"/>
        </w:rPr>
      </w:r>
      <w:r>
        <w:rPr>
          <w:rFonts w:eastAsia="Calibri"/>
          <w:b/>
          <w:sz w:val="22"/>
          <w:szCs w:val="22"/>
          <w:highlight w:val="white"/>
        </w:rPr>
      </w:r>
      <w:r>
        <w:rPr>
          <w:rFonts w:eastAsia="Calibri"/>
          <w:b/>
          <w:sz w:val="22"/>
          <w:szCs w:val="22"/>
          <w:highlight w:val="whit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none"/>
        </w:rPr>
      </w:pPr>
      <w:r>
        <w:rPr>
          <w:sz w:val="22"/>
          <w:szCs w:val="22"/>
          <w:highlight w:val="white"/>
        </w:rPr>
        <w:t xml:space="preserve">Приложение № 2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 Договору поставки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4820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 «____» __________ 20 _ г. № 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5812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5812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tabs>
          <w:tab w:val="left" w:pos="2700" w:leader="none"/>
        </w:tabs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2700" w:leader="none"/>
        </w:tabs>
        <w:rPr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Заявка №___ </w:t>
      </w:r>
      <w:r>
        <w:rPr>
          <w:sz w:val="22"/>
          <w:szCs w:val="22"/>
          <w:highlight w:val="white"/>
        </w:rPr>
        <w:t xml:space="preserve">/ФОРМА/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2700" w:leader="none"/>
        </w:tabs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на поставку Товара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tabs>
          <w:tab w:val="left" w:pos="2700" w:leader="none"/>
        </w:tabs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  <w:t xml:space="preserve">по договору поставки №______________ от «____» _____20_ г. </w:t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p>
      <w:pPr>
        <w:ind w:firstLine="709"/>
        <w:jc w:val="right"/>
        <w:shd w:val="clear" w:color="ffffff" w:themeColor="background1" w:fill="ffffff" w:themeFill="background1"/>
        <w:rPr>
          <w:b/>
          <w:sz w:val="22"/>
          <w:szCs w:val="22"/>
          <w:highlight w:val="white"/>
        </w:rPr>
      </w:pP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  <w:r>
        <w:rPr>
          <w:b/>
          <w:sz w:val="22"/>
          <w:szCs w:val="22"/>
          <w:highlight w:val="white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1"/>
        <w:gridCol w:w="1134"/>
        <w:gridCol w:w="710"/>
        <w:gridCol w:w="1078"/>
        <w:gridCol w:w="1188"/>
        <w:gridCol w:w="993"/>
        <w:gridCol w:w="1419"/>
        <w:gridCol w:w="851"/>
        <w:gridCol w:w="850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shd w:val="clear" w:color="ffffff" w:themeColor="background1" w:fill="ffffff" w:themeFill="background1"/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auto" w:sz="4" w:space="0"/>
              <w:right w:val="single" w:color="auto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shd w:val="clear" w:color="ffffff" w:themeColor="background1" w:fill="ffffff" w:themeFill="background1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Итого:</w:t>
            </w:r>
            <w:r>
              <w:rPr>
                <w:color w:val="000000"/>
                <w:sz w:val="22"/>
                <w:szCs w:val="22"/>
                <w:highlight w:val="white"/>
              </w:rPr>
            </w:r>
            <w:r>
              <w:rPr>
                <w:color w:val="000000"/>
                <w:sz w:val="22"/>
                <w:szCs w:val="22"/>
                <w:highlight w:val="white"/>
              </w:rPr>
            </w:r>
          </w:p>
        </w:tc>
      </w:tr>
    </w:tbl>
    <w:p>
      <w:pPr>
        <w:ind w:firstLine="709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  <w:outlineLvl w:val="0"/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/>
          <w:bCs/>
          <w:sz w:val="22"/>
          <w:szCs w:val="22"/>
          <w:highlight w:val="white"/>
        </w:rPr>
        <w:outlineLvl w:val="0"/>
      </w:pP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  <w:r>
        <w:rPr>
          <w:b/>
          <w:bCs/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bCs/>
          <w:sz w:val="22"/>
          <w:szCs w:val="22"/>
          <w:highlight w:val="white"/>
        </w:rPr>
        <w:outlineLvl w:val="0"/>
      </w:pP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Покупатель: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_____________________/_____________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709"/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ind w:firstLine="709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i/>
          <w:sz w:val="22"/>
          <w:szCs w:val="22"/>
          <w:highlight w:val="white"/>
        </w:rPr>
      </w:pPr>
      <w:r>
        <w:rPr>
          <w:i/>
          <w:sz w:val="22"/>
          <w:szCs w:val="22"/>
          <w:highlight w:val="white"/>
        </w:rPr>
        <w:t xml:space="preserve">(конец формы)</w:t>
      </w:r>
      <w:r>
        <w:rPr>
          <w:i/>
          <w:sz w:val="22"/>
          <w:szCs w:val="22"/>
          <w:highlight w:val="white"/>
        </w:rPr>
      </w:r>
      <w:r>
        <w:rPr>
          <w:i/>
          <w:sz w:val="22"/>
          <w:szCs w:val="22"/>
          <w:highlight w:val="white"/>
        </w:rPr>
      </w:r>
    </w:p>
    <w:p>
      <w:pPr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sz w:val="22"/>
          <w:szCs w:val="22"/>
          <w:highlight w:val="white"/>
        </w:rPr>
        <w:outlineLvl w:val="0"/>
      </w:pPr>
      <w:r>
        <w:rPr>
          <w:bCs/>
          <w:sz w:val="22"/>
          <w:szCs w:val="22"/>
          <w:highlight w:val="white"/>
        </w:rPr>
        <w:t xml:space="preserve">ФОРМА СОГЛАСОВАНА: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709"/>
        <w:jc w:val="center"/>
        <w:shd w:val="clear" w:color="ffffff" w:themeColor="background1" w:fill="ffffff" w:themeFill="background1"/>
        <w:rPr>
          <w:sz w:val="22"/>
          <w:szCs w:val="22"/>
          <w:highlight w:val="white"/>
        </w:rPr>
        <w:outlineLvl w:val="0"/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Покупатель: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_____________________/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709"/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Поставщик: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ind w:hanging="1"/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hanging="1"/>
              <w:shd w:val="clear" w:color="ffffff" w:themeColor="background1" w:fill="ffffff" w:themeFill="background1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_____________________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709"/>
              <w:shd w:val="clear" w:color="ffffff" w:themeColor="background1" w:fill="ffffff" w:themeFill="background1"/>
              <w:widowControl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</w:tbl>
    <w:p>
      <w:pPr>
        <w:ind w:firstLine="709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shd w:val="clear" w:color="ffffff" w:themeColor="background1" w:fill="ffffff" w:themeFill="background1"/>
        <w:widowControl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jc w:val="right"/>
    </w:pPr>
    <w:fldSimple w:instr="PAGE \* MERGEFORMAT">
      <w:r>
        <w:t xml:space="preserve">1</w:t>
      </w:r>
    </w:fldSimple>
    <w:r/>
    <w:r/>
  </w:p>
  <w:p>
    <w:pPr>
      <w:pStyle w:val="10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sz w:val="24"/>
        <w:szCs w:val="24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2"/>
  </w:num>
  <w:num w:numId="2">
    <w:abstractNumId w:val="40"/>
  </w:num>
  <w:num w:numId="3">
    <w:abstractNumId w:val="21"/>
  </w:num>
  <w:num w:numId="4">
    <w:abstractNumId w:val="10"/>
  </w:num>
  <w:num w:numId="5">
    <w:abstractNumId w:val="24"/>
  </w:num>
  <w:num w:numId="6">
    <w:abstractNumId w:val="1"/>
  </w:num>
  <w:num w:numId="7">
    <w:abstractNumId w:val="35"/>
  </w:num>
  <w:num w:numId="8">
    <w:abstractNumId w:val="15"/>
  </w:num>
  <w:num w:numId="9">
    <w:abstractNumId w:val="18"/>
  </w:num>
  <w:num w:numId="10">
    <w:abstractNumId w:val="39"/>
  </w:num>
  <w:num w:numId="11">
    <w:abstractNumId w:val="16"/>
  </w:num>
  <w:num w:numId="12">
    <w:abstractNumId w:val="7"/>
  </w:num>
  <w:num w:numId="13">
    <w:abstractNumId w:val="23"/>
  </w:num>
  <w:num w:numId="14">
    <w:abstractNumId w:val="17"/>
  </w:num>
  <w:num w:numId="15">
    <w:abstractNumId w:val="38"/>
  </w:num>
  <w:num w:numId="16">
    <w:abstractNumId w:val="36"/>
  </w:num>
  <w:num w:numId="17">
    <w:abstractNumId w:val="5"/>
  </w:num>
  <w:num w:numId="18">
    <w:abstractNumId w:val="29"/>
  </w:num>
  <w:num w:numId="19">
    <w:abstractNumId w:val="25"/>
  </w:num>
  <w:num w:numId="20">
    <w:abstractNumId w:val="30"/>
  </w:num>
  <w:num w:numId="21">
    <w:abstractNumId w:val="19"/>
  </w:num>
  <w:num w:numId="22">
    <w:abstractNumId w:val="33"/>
  </w:num>
  <w:num w:numId="23">
    <w:abstractNumId w:val="26"/>
  </w:num>
  <w:num w:numId="24">
    <w:abstractNumId w:val="20"/>
  </w:num>
  <w:num w:numId="25">
    <w:abstractNumId w:val="8"/>
  </w:num>
  <w:num w:numId="26">
    <w:abstractNumId w:val="34"/>
  </w:num>
  <w:num w:numId="27">
    <w:abstractNumId w:val="27"/>
  </w:num>
  <w:num w:numId="28">
    <w:abstractNumId w:val="31"/>
  </w:num>
  <w:num w:numId="29">
    <w:abstractNumId w:val="0"/>
  </w:num>
  <w:num w:numId="30">
    <w:abstractNumId w:val="9"/>
  </w:num>
  <w:num w:numId="31">
    <w:abstractNumId w:val="13"/>
  </w:num>
  <w:num w:numId="32">
    <w:abstractNumId w:val="4"/>
  </w:num>
  <w:num w:numId="33">
    <w:abstractNumId w:val="3"/>
  </w:num>
  <w:num w:numId="34">
    <w:abstractNumId w:val="14"/>
  </w:num>
  <w:num w:numId="35">
    <w:abstractNumId w:val="6"/>
  </w:num>
  <w:num w:numId="36">
    <w:abstractNumId w:val="28"/>
  </w:num>
  <w:num w:numId="37">
    <w:abstractNumId w:val="11"/>
  </w:num>
  <w:num w:numId="38">
    <w:abstractNumId w:val="2"/>
  </w:num>
  <w:num w:numId="39">
    <w:abstractNumId w:val="22"/>
  </w:num>
  <w:num w:numId="40">
    <w:abstractNumId w:val="32"/>
  </w:num>
  <w:num w:numId="41">
    <w:abstractNumId w:val="37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6">
    <w:name w:val="Heading 1 Char"/>
    <w:basedOn w:val="838"/>
    <w:link w:val="829"/>
    <w:uiPriority w:val="9"/>
    <w:rPr>
      <w:rFonts w:ascii="Arial" w:hAnsi="Arial" w:eastAsia="Arial" w:cs="Arial"/>
      <w:sz w:val="40"/>
      <w:szCs w:val="40"/>
    </w:rPr>
  </w:style>
  <w:style w:type="character" w:styleId="817">
    <w:name w:val="Heading 2 Char"/>
    <w:basedOn w:val="838"/>
    <w:link w:val="830"/>
    <w:uiPriority w:val="9"/>
    <w:rPr>
      <w:rFonts w:ascii="Arial" w:hAnsi="Arial" w:eastAsia="Arial" w:cs="Arial"/>
      <w:sz w:val="34"/>
    </w:rPr>
  </w:style>
  <w:style w:type="character" w:styleId="818">
    <w:name w:val="Heading 4 Char"/>
    <w:basedOn w:val="838"/>
    <w:link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19">
    <w:name w:val="Heading 5 Char"/>
    <w:basedOn w:val="838"/>
    <w:link w:val="833"/>
    <w:uiPriority w:val="9"/>
    <w:rPr>
      <w:rFonts w:ascii="Arial" w:hAnsi="Arial" w:eastAsia="Arial" w:cs="Arial"/>
      <w:b/>
      <w:bCs/>
      <w:sz w:val="24"/>
      <w:szCs w:val="24"/>
    </w:rPr>
  </w:style>
  <w:style w:type="character" w:styleId="820">
    <w:name w:val="Heading 6 Char"/>
    <w:basedOn w:val="838"/>
    <w:link w:val="834"/>
    <w:uiPriority w:val="9"/>
    <w:rPr>
      <w:rFonts w:ascii="Arial" w:hAnsi="Arial" w:eastAsia="Arial" w:cs="Arial"/>
      <w:b/>
      <w:bCs/>
      <w:sz w:val="22"/>
      <w:szCs w:val="22"/>
    </w:rPr>
  </w:style>
  <w:style w:type="character" w:styleId="821">
    <w:name w:val="Heading 7 Char"/>
    <w:basedOn w:val="838"/>
    <w:link w:val="8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2">
    <w:name w:val="Heading 8 Char"/>
    <w:basedOn w:val="838"/>
    <w:link w:val="836"/>
    <w:uiPriority w:val="9"/>
    <w:rPr>
      <w:rFonts w:ascii="Arial" w:hAnsi="Arial" w:eastAsia="Arial" w:cs="Arial"/>
      <w:i/>
      <w:iCs/>
      <w:sz w:val="22"/>
      <w:szCs w:val="22"/>
    </w:rPr>
  </w:style>
  <w:style w:type="character" w:styleId="823">
    <w:name w:val="Heading 9 Char"/>
    <w:basedOn w:val="838"/>
    <w:link w:val="837"/>
    <w:uiPriority w:val="9"/>
    <w:rPr>
      <w:rFonts w:ascii="Arial" w:hAnsi="Arial" w:eastAsia="Arial" w:cs="Arial"/>
      <w:i/>
      <w:iCs/>
      <w:sz w:val="21"/>
      <w:szCs w:val="21"/>
    </w:rPr>
  </w:style>
  <w:style w:type="character" w:styleId="824">
    <w:name w:val="Subtitle Char"/>
    <w:basedOn w:val="838"/>
    <w:link w:val="852"/>
    <w:uiPriority w:val="11"/>
    <w:rPr>
      <w:sz w:val="24"/>
      <w:szCs w:val="24"/>
    </w:rPr>
  </w:style>
  <w:style w:type="character" w:styleId="825">
    <w:name w:val="Quote Char"/>
    <w:link w:val="854"/>
    <w:uiPriority w:val="29"/>
    <w:rPr>
      <w:i/>
    </w:rPr>
  </w:style>
  <w:style w:type="character" w:styleId="826">
    <w:name w:val="Intense Quote Char"/>
    <w:link w:val="856"/>
    <w:uiPriority w:val="30"/>
    <w:rPr>
      <w:i/>
    </w:rPr>
  </w:style>
  <w:style w:type="character" w:styleId="827">
    <w:name w:val="Endnote Text Char"/>
    <w:link w:val="988"/>
    <w:uiPriority w:val="99"/>
    <w:rPr>
      <w:sz w:val="20"/>
    </w:rPr>
  </w:style>
  <w:style w:type="paragraph" w:styleId="828" w:default="1">
    <w:name w:val="Normal"/>
    <w:qFormat/>
    <w:pPr>
      <w:widowControl w:val="off"/>
    </w:pPr>
  </w:style>
  <w:style w:type="paragraph" w:styleId="829">
    <w:name w:val="Heading 1"/>
    <w:basedOn w:val="828"/>
    <w:next w:val="828"/>
    <w:link w:val="84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4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1">
    <w:name w:val="Heading 3"/>
    <w:basedOn w:val="828"/>
    <w:next w:val="828"/>
    <w:link w:val="1023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832">
    <w:name w:val="Heading 4"/>
    <w:basedOn w:val="828"/>
    <w:next w:val="828"/>
    <w:link w:val="84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3">
    <w:name w:val="Heading 5"/>
    <w:basedOn w:val="828"/>
    <w:next w:val="828"/>
    <w:link w:val="8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828"/>
    <w:next w:val="828"/>
    <w:link w:val="8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5">
    <w:name w:val="Heading 7"/>
    <w:basedOn w:val="828"/>
    <w:next w:val="828"/>
    <w:link w:val="8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6">
    <w:name w:val="Heading 8"/>
    <w:basedOn w:val="828"/>
    <w:next w:val="828"/>
    <w:link w:val="84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7">
    <w:name w:val="Heading 9"/>
    <w:basedOn w:val="828"/>
    <w:next w:val="828"/>
    <w:link w:val="8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character" w:styleId="841" w:customStyle="1">
    <w:name w:val="Заголовок 1 Знак"/>
    <w:basedOn w:val="838"/>
    <w:link w:val="829"/>
    <w:uiPriority w:val="9"/>
    <w:rPr>
      <w:rFonts w:ascii="Arial" w:hAnsi="Arial" w:eastAsia="Arial" w:cs="Arial"/>
      <w:sz w:val="40"/>
      <w:szCs w:val="40"/>
    </w:rPr>
  </w:style>
  <w:style w:type="character" w:styleId="842" w:customStyle="1">
    <w:name w:val="Заголовок 2 Знак"/>
    <w:basedOn w:val="838"/>
    <w:link w:val="830"/>
    <w:uiPriority w:val="9"/>
    <w:rPr>
      <w:rFonts w:ascii="Arial" w:hAnsi="Arial" w:eastAsia="Arial" w:cs="Arial"/>
      <w:sz w:val="34"/>
    </w:rPr>
  </w:style>
  <w:style w:type="character" w:styleId="843" w:customStyle="1">
    <w:name w:val="Heading 3 Char"/>
    <w:basedOn w:val="838"/>
    <w:uiPriority w:val="9"/>
    <w:rPr>
      <w:rFonts w:ascii="Arial" w:hAnsi="Arial" w:eastAsia="Arial" w:cs="Arial"/>
      <w:sz w:val="30"/>
      <w:szCs w:val="30"/>
    </w:rPr>
  </w:style>
  <w:style w:type="character" w:styleId="844" w:customStyle="1">
    <w:name w:val="Заголовок 4 Знак"/>
    <w:basedOn w:val="838"/>
    <w:link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45" w:customStyle="1">
    <w:name w:val="Заголовок 5 Знак"/>
    <w:basedOn w:val="838"/>
    <w:link w:val="833"/>
    <w:uiPriority w:val="9"/>
    <w:rPr>
      <w:rFonts w:ascii="Arial" w:hAnsi="Arial" w:eastAsia="Arial" w:cs="Arial"/>
      <w:b/>
      <w:bCs/>
      <w:sz w:val="24"/>
      <w:szCs w:val="24"/>
    </w:rPr>
  </w:style>
  <w:style w:type="character" w:styleId="846" w:customStyle="1">
    <w:name w:val="Заголовок 6 Знак"/>
    <w:basedOn w:val="838"/>
    <w:link w:val="834"/>
    <w:uiPriority w:val="9"/>
    <w:rPr>
      <w:rFonts w:ascii="Arial" w:hAnsi="Arial" w:eastAsia="Arial" w:cs="Arial"/>
      <w:b/>
      <w:bCs/>
      <w:sz w:val="22"/>
      <w:szCs w:val="22"/>
    </w:rPr>
  </w:style>
  <w:style w:type="character" w:styleId="847" w:customStyle="1">
    <w:name w:val="Заголовок 7 Знак"/>
    <w:basedOn w:val="838"/>
    <w:link w:val="8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8" w:customStyle="1">
    <w:name w:val="Заголовок 8 Знак"/>
    <w:basedOn w:val="838"/>
    <w:link w:val="836"/>
    <w:uiPriority w:val="9"/>
    <w:rPr>
      <w:rFonts w:ascii="Arial" w:hAnsi="Arial" w:eastAsia="Arial" w:cs="Arial"/>
      <w:i/>
      <w:iCs/>
      <w:sz w:val="22"/>
      <w:szCs w:val="22"/>
    </w:rPr>
  </w:style>
  <w:style w:type="character" w:styleId="849" w:customStyle="1">
    <w:name w:val="Заголовок 9 Знак"/>
    <w:basedOn w:val="838"/>
    <w:link w:val="837"/>
    <w:uiPriority w:val="9"/>
    <w:rPr>
      <w:rFonts w:ascii="Arial" w:hAnsi="Arial" w:eastAsia="Arial" w:cs="Arial"/>
      <w:i/>
      <w:iCs/>
      <w:sz w:val="21"/>
      <w:szCs w:val="21"/>
    </w:rPr>
  </w:style>
  <w:style w:type="paragraph" w:styleId="850">
    <w:name w:val="No Spacing"/>
    <w:uiPriority w:val="1"/>
    <w:qFormat/>
  </w:style>
  <w:style w:type="character" w:styleId="851" w:customStyle="1">
    <w:name w:val="Title Char"/>
    <w:basedOn w:val="838"/>
    <w:uiPriority w:val="10"/>
    <w:rPr>
      <w:sz w:val="48"/>
      <w:szCs w:val="48"/>
    </w:rPr>
  </w:style>
  <w:style w:type="paragraph" w:styleId="852">
    <w:name w:val="Subtitle"/>
    <w:basedOn w:val="828"/>
    <w:next w:val="828"/>
    <w:link w:val="853"/>
    <w:uiPriority w:val="11"/>
    <w:qFormat/>
    <w:pPr>
      <w:spacing w:before="200" w:after="200"/>
    </w:pPr>
    <w:rPr>
      <w:sz w:val="24"/>
      <w:szCs w:val="24"/>
    </w:rPr>
  </w:style>
  <w:style w:type="character" w:styleId="853" w:customStyle="1">
    <w:name w:val="Подзаголовок Знак"/>
    <w:basedOn w:val="838"/>
    <w:link w:val="852"/>
    <w:uiPriority w:val="11"/>
    <w:rPr>
      <w:sz w:val="24"/>
      <w:szCs w:val="24"/>
    </w:rPr>
  </w:style>
  <w:style w:type="paragraph" w:styleId="854">
    <w:name w:val="Quote"/>
    <w:basedOn w:val="828"/>
    <w:next w:val="828"/>
    <w:link w:val="855"/>
    <w:uiPriority w:val="29"/>
    <w:qFormat/>
    <w:pPr>
      <w:ind w:left="720" w:right="720"/>
    </w:pPr>
    <w:rPr>
      <w:i/>
    </w:rPr>
  </w:style>
  <w:style w:type="character" w:styleId="855" w:customStyle="1">
    <w:name w:val="Цитата 2 Знак"/>
    <w:link w:val="854"/>
    <w:uiPriority w:val="29"/>
    <w:rPr>
      <w:i/>
    </w:rPr>
  </w:style>
  <w:style w:type="paragraph" w:styleId="856">
    <w:name w:val="Intense Quote"/>
    <w:basedOn w:val="828"/>
    <w:next w:val="828"/>
    <w:link w:val="85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7" w:customStyle="1">
    <w:name w:val="Выделенная цитата Знак"/>
    <w:link w:val="856"/>
    <w:uiPriority w:val="30"/>
    <w:rPr>
      <w:i/>
    </w:rPr>
  </w:style>
  <w:style w:type="character" w:styleId="858" w:customStyle="1">
    <w:name w:val="Header Char"/>
    <w:basedOn w:val="838"/>
    <w:uiPriority w:val="99"/>
  </w:style>
  <w:style w:type="character" w:styleId="859" w:customStyle="1">
    <w:name w:val="Footer Char"/>
    <w:basedOn w:val="838"/>
    <w:uiPriority w:val="99"/>
  </w:style>
  <w:style w:type="paragraph" w:styleId="860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61" w:customStyle="1">
    <w:name w:val="Caption Char"/>
    <w:uiPriority w:val="99"/>
  </w:style>
  <w:style w:type="table" w:styleId="862" w:customStyle="1">
    <w:name w:val="Table Grid Light"/>
    <w:basedOn w:val="83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3">
    <w:name w:val="Plain Table 1"/>
    <w:basedOn w:val="83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2"/>
    <w:basedOn w:val="83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3"/>
    <w:basedOn w:val="83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6">
    <w:name w:val="Plain Table 4"/>
    <w:basedOn w:val="83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Plain Table 5"/>
    <w:basedOn w:val="83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8">
    <w:name w:val="Grid Table 1 Light"/>
    <w:basedOn w:val="83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1"/>
    <w:basedOn w:val="83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2"/>
    <w:basedOn w:val="83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3"/>
    <w:basedOn w:val="83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4"/>
    <w:basedOn w:val="83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5"/>
    <w:basedOn w:val="83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6"/>
    <w:basedOn w:val="83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2"/>
    <w:basedOn w:val="83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1"/>
    <w:basedOn w:val="83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2"/>
    <w:basedOn w:val="83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3"/>
    <w:basedOn w:val="83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4"/>
    <w:basedOn w:val="83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5"/>
    <w:basedOn w:val="83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6"/>
    <w:basedOn w:val="83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"/>
    <w:basedOn w:val="83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1"/>
    <w:basedOn w:val="83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2"/>
    <w:basedOn w:val="83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3"/>
    <w:basedOn w:val="83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4"/>
    <w:basedOn w:val="83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5"/>
    <w:basedOn w:val="83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6"/>
    <w:basedOn w:val="83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4"/>
    <w:basedOn w:val="83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0" w:customStyle="1">
    <w:name w:val="Grid Table 4 - Accent 1"/>
    <w:basedOn w:val="83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91" w:customStyle="1">
    <w:name w:val="Grid Table 4 - Accent 2"/>
    <w:basedOn w:val="83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2" w:customStyle="1">
    <w:name w:val="Grid Table 4 - Accent 3"/>
    <w:basedOn w:val="83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3" w:customStyle="1">
    <w:name w:val="Grid Table 4 - Accent 4"/>
    <w:basedOn w:val="83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4" w:customStyle="1">
    <w:name w:val="Grid Table 4 - Accent 5"/>
    <w:basedOn w:val="83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95" w:customStyle="1">
    <w:name w:val="Grid Table 4 - Accent 6"/>
    <w:basedOn w:val="83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6">
    <w:name w:val="Grid Table 5 Dark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1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2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3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4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5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6"/>
    <w:basedOn w:val="83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3">
    <w:name w:val="Grid Table 6 Colorful"/>
    <w:basedOn w:val="83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4" w:customStyle="1">
    <w:name w:val="Grid Table 6 Colorful - Accent 1"/>
    <w:basedOn w:val="83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05" w:customStyle="1">
    <w:name w:val="Grid Table 6 Colorful - Accent 2"/>
    <w:basedOn w:val="83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6" w:customStyle="1">
    <w:name w:val="Grid Table 6 Colorful - Accent 3"/>
    <w:basedOn w:val="83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07" w:customStyle="1">
    <w:name w:val="Grid Table 6 Colorful - Accent 4"/>
    <w:basedOn w:val="83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08" w:customStyle="1">
    <w:name w:val="Grid Table 6 Colorful - Accent 5"/>
    <w:basedOn w:val="83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9" w:customStyle="1">
    <w:name w:val="Grid Table 6 Colorful - Accent 6"/>
    <w:basedOn w:val="83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0">
    <w:name w:val="Grid Table 7 Colorful"/>
    <w:basedOn w:val="83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1"/>
    <w:basedOn w:val="83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2"/>
    <w:basedOn w:val="83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3"/>
    <w:basedOn w:val="83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4"/>
    <w:basedOn w:val="83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5"/>
    <w:basedOn w:val="83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6"/>
    <w:basedOn w:val="83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"/>
    <w:basedOn w:val="83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1"/>
    <w:basedOn w:val="839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2"/>
    <w:basedOn w:val="83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3"/>
    <w:basedOn w:val="83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4"/>
    <w:basedOn w:val="83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5"/>
    <w:basedOn w:val="839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6"/>
    <w:basedOn w:val="83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2"/>
    <w:basedOn w:val="83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1"/>
    <w:basedOn w:val="83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2"/>
    <w:basedOn w:val="83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3"/>
    <w:basedOn w:val="83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4"/>
    <w:basedOn w:val="83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5"/>
    <w:basedOn w:val="83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6"/>
    <w:basedOn w:val="83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1">
    <w:name w:val="List Table 3"/>
    <w:basedOn w:val="83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1"/>
    <w:basedOn w:val="83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2"/>
    <w:basedOn w:val="83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3"/>
    <w:basedOn w:val="83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4"/>
    <w:basedOn w:val="83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5"/>
    <w:basedOn w:val="83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6"/>
    <w:basedOn w:val="83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"/>
    <w:basedOn w:val="83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1"/>
    <w:basedOn w:val="83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2"/>
    <w:basedOn w:val="83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3"/>
    <w:basedOn w:val="83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4"/>
    <w:basedOn w:val="83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5"/>
    <w:basedOn w:val="83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6"/>
    <w:basedOn w:val="83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5 Dark"/>
    <w:basedOn w:val="83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1"/>
    <w:basedOn w:val="83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2"/>
    <w:basedOn w:val="83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3"/>
    <w:basedOn w:val="83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4"/>
    <w:basedOn w:val="83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5"/>
    <w:basedOn w:val="83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6"/>
    <w:basedOn w:val="83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>
    <w:name w:val="List Table 6 Colorful"/>
    <w:basedOn w:val="83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3" w:customStyle="1">
    <w:name w:val="List Table 6 Colorful - Accent 1"/>
    <w:basedOn w:val="83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54" w:customStyle="1">
    <w:name w:val="List Table 6 Colorful - Accent 2"/>
    <w:basedOn w:val="83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5" w:customStyle="1">
    <w:name w:val="List Table 6 Colorful - Accent 3"/>
    <w:basedOn w:val="83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6" w:customStyle="1">
    <w:name w:val="List Table 6 Colorful - Accent 4"/>
    <w:basedOn w:val="83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57" w:customStyle="1">
    <w:name w:val="List Table 6 Colorful - Accent 5"/>
    <w:basedOn w:val="83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58" w:customStyle="1">
    <w:name w:val="List Table 6 Colorful - Accent 6"/>
    <w:basedOn w:val="83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59">
    <w:name w:val="List Table 7 Colorful"/>
    <w:basedOn w:val="83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1"/>
    <w:basedOn w:val="83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2"/>
    <w:basedOn w:val="83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3"/>
    <w:basedOn w:val="83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4"/>
    <w:basedOn w:val="83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5"/>
    <w:basedOn w:val="83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6"/>
    <w:basedOn w:val="83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ned - Accent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7" w:customStyle="1">
    <w:name w:val="Lined - Accent 1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8" w:customStyle="1">
    <w:name w:val="Lined - Accent 2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9" w:customStyle="1">
    <w:name w:val="Lined - Accent 3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0" w:customStyle="1">
    <w:name w:val="Lined - Accent 4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1" w:customStyle="1">
    <w:name w:val="Lined - Accent 5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72" w:customStyle="1">
    <w:name w:val="Lined - Accent 6"/>
    <w:basedOn w:val="83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3" w:customStyle="1">
    <w:name w:val="Bordered &amp; Lined - Accent"/>
    <w:basedOn w:val="83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4" w:customStyle="1">
    <w:name w:val="Bordered &amp; Lined - Accent 1"/>
    <w:basedOn w:val="839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75" w:customStyle="1">
    <w:name w:val="Bordered &amp; Lined - Accent 2"/>
    <w:basedOn w:val="83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6" w:customStyle="1">
    <w:name w:val="Bordered &amp; Lined - Accent 3"/>
    <w:basedOn w:val="83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7" w:customStyle="1">
    <w:name w:val="Bordered &amp; Lined - Accent 4"/>
    <w:basedOn w:val="83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8" w:customStyle="1">
    <w:name w:val="Bordered &amp; Lined - Accent 5"/>
    <w:basedOn w:val="839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79" w:customStyle="1">
    <w:name w:val="Bordered &amp; Lined - Accent 6"/>
    <w:basedOn w:val="83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0" w:customStyle="1">
    <w:name w:val="Bordered"/>
    <w:basedOn w:val="83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1" w:customStyle="1">
    <w:name w:val="Bordered - Accent 1"/>
    <w:basedOn w:val="83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82" w:customStyle="1">
    <w:name w:val="Bordered - Accent 2"/>
    <w:basedOn w:val="83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3" w:customStyle="1">
    <w:name w:val="Bordered - Accent 3"/>
    <w:basedOn w:val="83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4" w:customStyle="1">
    <w:name w:val="Bordered - Accent 4"/>
    <w:basedOn w:val="83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5" w:customStyle="1">
    <w:name w:val="Bordered - Accent 5"/>
    <w:basedOn w:val="83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86" w:customStyle="1">
    <w:name w:val="Bordered - Accent 6"/>
    <w:basedOn w:val="83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87" w:customStyle="1">
    <w:name w:val="Footnote Text Char"/>
    <w:uiPriority w:val="99"/>
    <w:rPr>
      <w:sz w:val="18"/>
    </w:rPr>
  </w:style>
  <w:style w:type="paragraph" w:styleId="988">
    <w:name w:val="endnote text"/>
    <w:basedOn w:val="828"/>
    <w:link w:val="989"/>
    <w:uiPriority w:val="99"/>
    <w:semiHidden/>
    <w:unhideWhenUsed/>
  </w:style>
  <w:style w:type="character" w:styleId="989" w:customStyle="1">
    <w:name w:val="Текст концевой сноски Знак"/>
    <w:link w:val="988"/>
    <w:uiPriority w:val="99"/>
    <w:rPr>
      <w:sz w:val="20"/>
    </w:rPr>
  </w:style>
  <w:style w:type="character" w:styleId="990">
    <w:name w:val="endnote reference"/>
    <w:basedOn w:val="838"/>
    <w:uiPriority w:val="99"/>
    <w:semiHidden/>
    <w:unhideWhenUsed/>
    <w:rPr>
      <w:vertAlign w:val="superscript"/>
    </w:rPr>
  </w:style>
  <w:style w:type="paragraph" w:styleId="991">
    <w:name w:val="toc 1"/>
    <w:basedOn w:val="828"/>
    <w:next w:val="828"/>
    <w:uiPriority w:val="39"/>
    <w:unhideWhenUsed/>
    <w:pPr>
      <w:spacing w:after="57"/>
    </w:pPr>
  </w:style>
  <w:style w:type="paragraph" w:styleId="992">
    <w:name w:val="toc 2"/>
    <w:basedOn w:val="828"/>
    <w:next w:val="828"/>
    <w:uiPriority w:val="39"/>
    <w:unhideWhenUsed/>
    <w:pPr>
      <w:ind w:left="283"/>
      <w:spacing w:after="57"/>
    </w:pPr>
  </w:style>
  <w:style w:type="paragraph" w:styleId="993">
    <w:name w:val="toc 3"/>
    <w:basedOn w:val="828"/>
    <w:next w:val="828"/>
    <w:uiPriority w:val="39"/>
    <w:unhideWhenUsed/>
    <w:pPr>
      <w:ind w:left="567"/>
      <w:spacing w:after="57"/>
    </w:pPr>
  </w:style>
  <w:style w:type="paragraph" w:styleId="994">
    <w:name w:val="toc 4"/>
    <w:basedOn w:val="828"/>
    <w:next w:val="828"/>
    <w:uiPriority w:val="39"/>
    <w:unhideWhenUsed/>
    <w:pPr>
      <w:ind w:left="850"/>
      <w:spacing w:after="57"/>
    </w:pPr>
  </w:style>
  <w:style w:type="paragraph" w:styleId="995">
    <w:name w:val="toc 5"/>
    <w:basedOn w:val="828"/>
    <w:next w:val="828"/>
    <w:uiPriority w:val="39"/>
    <w:unhideWhenUsed/>
    <w:pPr>
      <w:ind w:left="1134"/>
      <w:spacing w:after="57"/>
    </w:pPr>
  </w:style>
  <w:style w:type="paragraph" w:styleId="996">
    <w:name w:val="toc 6"/>
    <w:basedOn w:val="828"/>
    <w:next w:val="828"/>
    <w:uiPriority w:val="39"/>
    <w:unhideWhenUsed/>
    <w:pPr>
      <w:ind w:left="1417"/>
      <w:spacing w:after="57"/>
    </w:pPr>
  </w:style>
  <w:style w:type="paragraph" w:styleId="997">
    <w:name w:val="toc 7"/>
    <w:basedOn w:val="828"/>
    <w:next w:val="828"/>
    <w:uiPriority w:val="39"/>
    <w:unhideWhenUsed/>
    <w:pPr>
      <w:ind w:left="1701"/>
      <w:spacing w:after="57"/>
    </w:pPr>
  </w:style>
  <w:style w:type="paragraph" w:styleId="998">
    <w:name w:val="toc 8"/>
    <w:basedOn w:val="828"/>
    <w:next w:val="828"/>
    <w:uiPriority w:val="39"/>
    <w:unhideWhenUsed/>
    <w:pPr>
      <w:ind w:left="1984"/>
      <w:spacing w:after="57"/>
    </w:pPr>
  </w:style>
  <w:style w:type="paragraph" w:styleId="999">
    <w:name w:val="toc 9"/>
    <w:basedOn w:val="828"/>
    <w:next w:val="828"/>
    <w:uiPriority w:val="39"/>
    <w:unhideWhenUsed/>
    <w:pPr>
      <w:ind w:left="2268"/>
      <w:spacing w:after="57"/>
    </w:pPr>
  </w:style>
  <w:style w:type="paragraph" w:styleId="1000">
    <w:name w:val="TOC Heading"/>
    <w:uiPriority w:val="39"/>
    <w:unhideWhenUsed/>
  </w:style>
  <w:style w:type="paragraph" w:styleId="1001">
    <w:name w:val="table of figures"/>
    <w:basedOn w:val="828"/>
    <w:next w:val="828"/>
    <w:uiPriority w:val="99"/>
    <w:unhideWhenUsed/>
  </w:style>
  <w:style w:type="paragraph" w:styleId="1002">
    <w:name w:val="Title"/>
    <w:basedOn w:val="828"/>
    <w:link w:val="1009"/>
    <w:qFormat/>
    <w:pPr>
      <w:jc w:val="center"/>
    </w:pPr>
    <w:rPr>
      <w:b/>
      <w:bCs/>
      <w:sz w:val="24"/>
      <w:szCs w:val="24"/>
    </w:rPr>
  </w:style>
  <w:style w:type="paragraph" w:styleId="1003" w:customStyle="1">
    <w:name w:val="Таблицы (моноширинный)"/>
    <w:basedOn w:val="828"/>
    <w:next w:val="828"/>
    <w:pPr>
      <w:jc w:val="both"/>
    </w:pPr>
    <w:rPr>
      <w:rFonts w:ascii="Courier New" w:hAnsi="Courier New" w:cs="Courier New"/>
    </w:rPr>
  </w:style>
  <w:style w:type="paragraph" w:styleId="1004">
    <w:name w:val="Body Text Indent 2"/>
    <w:basedOn w:val="828"/>
    <w:pPr>
      <w:ind w:left="1843"/>
      <w:jc w:val="both"/>
    </w:pPr>
    <w:rPr>
      <w:sz w:val="24"/>
    </w:rPr>
  </w:style>
  <w:style w:type="paragraph" w:styleId="1005">
    <w:name w:val="Balloon Text"/>
    <w:basedOn w:val="828"/>
    <w:semiHidden/>
    <w:rPr>
      <w:rFonts w:ascii="Tahoma" w:hAnsi="Tahoma" w:cs="Tahoma"/>
      <w:sz w:val="16"/>
      <w:szCs w:val="16"/>
    </w:rPr>
  </w:style>
  <w:style w:type="paragraph" w:styleId="1006">
    <w:name w:val="Body Text 2"/>
    <w:basedOn w:val="828"/>
    <w:pPr>
      <w:spacing w:after="120" w:line="480" w:lineRule="auto"/>
      <w:widowControl/>
    </w:pPr>
    <w:rPr>
      <w:sz w:val="24"/>
      <w:szCs w:val="24"/>
    </w:rPr>
  </w:style>
  <w:style w:type="paragraph" w:styleId="1007">
    <w:name w:val="Body Text"/>
    <w:basedOn w:val="828"/>
    <w:link w:val="1010"/>
    <w:pPr>
      <w:spacing w:after="120"/>
    </w:pPr>
  </w:style>
  <w:style w:type="table" w:styleId="1008">
    <w:name w:val="Table Grid"/>
    <w:basedOn w:val="8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09" w:customStyle="1">
    <w:name w:val="Заголовок Знак"/>
    <w:link w:val="1002"/>
    <w:rPr>
      <w:b/>
      <w:bCs/>
      <w:sz w:val="24"/>
      <w:szCs w:val="24"/>
      <w:lang w:val="ru-RU" w:eastAsia="ru-RU" w:bidi="ar-SA"/>
    </w:rPr>
  </w:style>
  <w:style w:type="character" w:styleId="1010" w:customStyle="1">
    <w:name w:val="Основной текст Знак"/>
    <w:link w:val="1007"/>
    <w:rPr>
      <w:lang w:val="ru-RU" w:eastAsia="ru-RU" w:bidi="ar-SA"/>
    </w:rPr>
  </w:style>
  <w:style w:type="paragraph" w:styleId="1011">
    <w:name w:val="Footer"/>
    <w:basedOn w:val="828"/>
    <w:link w:val="1042"/>
    <w:uiPriority w:val="99"/>
    <w:pPr>
      <w:tabs>
        <w:tab w:val="center" w:pos="4677" w:leader="none"/>
        <w:tab w:val="right" w:pos="9355" w:leader="none"/>
      </w:tabs>
    </w:pPr>
  </w:style>
  <w:style w:type="character" w:styleId="1012">
    <w:name w:val="page number"/>
    <w:basedOn w:val="838"/>
  </w:style>
  <w:style w:type="paragraph" w:styleId="1013">
    <w:name w:val="Body Text 3"/>
    <w:basedOn w:val="828"/>
    <w:link w:val="1014"/>
    <w:pPr>
      <w:spacing w:after="120"/>
    </w:pPr>
    <w:rPr>
      <w:sz w:val="16"/>
      <w:szCs w:val="16"/>
    </w:rPr>
  </w:style>
  <w:style w:type="character" w:styleId="1014" w:customStyle="1">
    <w:name w:val="Основной текст 3 Знак"/>
    <w:link w:val="1013"/>
    <w:rPr>
      <w:sz w:val="16"/>
      <w:szCs w:val="16"/>
    </w:rPr>
  </w:style>
  <w:style w:type="character" w:styleId="1015">
    <w:name w:val="annotation reference"/>
    <w:rPr>
      <w:sz w:val="16"/>
      <w:szCs w:val="16"/>
    </w:rPr>
  </w:style>
  <w:style w:type="paragraph" w:styleId="1016">
    <w:name w:val="annotation text"/>
    <w:basedOn w:val="828"/>
    <w:link w:val="1017"/>
  </w:style>
  <w:style w:type="character" w:styleId="1017" w:customStyle="1">
    <w:name w:val="Текст примечания Знак"/>
    <w:basedOn w:val="838"/>
    <w:link w:val="1016"/>
  </w:style>
  <w:style w:type="paragraph" w:styleId="1018">
    <w:name w:val="annotation subject"/>
    <w:basedOn w:val="1016"/>
    <w:next w:val="1016"/>
    <w:link w:val="1019"/>
    <w:rPr>
      <w:b/>
      <w:bCs/>
    </w:rPr>
  </w:style>
  <w:style w:type="character" w:styleId="1019" w:customStyle="1">
    <w:name w:val="Тема примечания Знак"/>
    <w:link w:val="1018"/>
    <w:rPr>
      <w:b/>
      <w:bCs/>
    </w:rPr>
  </w:style>
  <w:style w:type="paragraph" w:styleId="1020">
    <w:name w:val="List Paragraph"/>
    <w:basedOn w:val="828"/>
    <w:uiPriority w:val="34"/>
    <w:qFormat/>
    <w:pPr>
      <w:contextualSpacing/>
      <w:ind w:left="720"/>
    </w:pPr>
  </w:style>
  <w:style w:type="paragraph" w:styleId="1021" w:customStyle="1">
    <w:name w:val="Знак Знак Знак Знак Знак Знак Знак Знак Знак"/>
    <w:basedOn w:val="828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22" w:customStyle="1">
    <w:name w:val="Подпункт договора"/>
    <w:basedOn w:val="828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23" w:customStyle="1">
    <w:name w:val="Заголовок 3 Знак"/>
    <w:link w:val="831"/>
    <w:semiHidden/>
    <w:rPr>
      <w:rFonts w:ascii="Cambria" w:hAnsi="Cambria" w:eastAsia="Times New Roman" w:cs="Times New Roman"/>
      <w:b/>
      <w:bCs/>
      <w:color w:val="4f81bd"/>
    </w:rPr>
  </w:style>
  <w:style w:type="paragraph" w:styleId="1024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5">
    <w:name w:val="Body Text Indent"/>
    <w:basedOn w:val="828"/>
    <w:link w:val="1026"/>
    <w:pPr>
      <w:ind w:left="283"/>
      <w:spacing w:after="120"/>
    </w:pPr>
  </w:style>
  <w:style w:type="character" w:styleId="1026" w:customStyle="1">
    <w:name w:val="Основной текст с отступом Знак"/>
    <w:basedOn w:val="838"/>
    <w:link w:val="1025"/>
  </w:style>
  <w:style w:type="paragraph" w:styleId="1027" w:customStyle="1">
    <w:name w:val="Знак"/>
    <w:basedOn w:val="828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28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29">
    <w:name w:val="footnote text"/>
    <w:basedOn w:val="828"/>
    <w:link w:val="1030"/>
  </w:style>
  <w:style w:type="character" w:styleId="1030" w:customStyle="1">
    <w:name w:val="Текст сноски Знак"/>
    <w:basedOn w:val="838"/>
    <w:link w:val="1029"/>
  </w:style>
  <w:style w:type="character" w:styleId="1031">
    <w:name w:val="footnote reference"/>
    <w:rPr>
      <w:vertAlign w:val="superscript"/>
    </w:rPr>
  </w:style>
  <w:style w:type="paragraph" w:styleId="1032">
    <w:name w:val="List Bullet 3"/>
    <w:basedOn w:val="828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33" w:customStyle="1">
    <w:name w:val="Контракт-пункт"/>
    <w:basedOn w:val="828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34">
    <w:name w:val="Document Map"/>
    <w:basedOn w:val="828"/>
    <w:semiHidden/>
    <w:pPr>
      <w:shd w:val="clear" w:color="auto" w:fill="000080"/>
    </w:pPr>
    <w:rPr>
      <w:rFonts w:ascii="Tahoma" w:hAnsi="Tahoma" w:cs="Tahoma"/>
    </w:rPr>
  </w:style>
  <w:style w:type="paragraph" w:styleId="1035">
    <w:name w:val="Revision"/>
    <w:hidden/>
    <w:uiPriority w:val="99"/>
    <w:semiHidden/>
  </w:style>
  <w:style w:type="paragraph" w:styleId="1036">
    <w:name w:val="Header"/>
    <w:basedOn w:val="828"/>
    <w:link w:val="1037"/>
    <w:uiPriority w:val="99"/>
    <w:pPr>
      <w:tabs>
        <w:tab w:val="center" w:pos="4677" w:leader="none"/>
        <w:tab w:val="right" w:pos="9355" w:leader="none"/>
      </w:tabs>
    </w:pPr>
  </w:style>
  <w:style w:type="character" w:styleId="1037" w:customStyle="1">
    <w:name w:val="Верхний колонтитул Знак"/>
    <w:basedOn w:val="838"/>
    <w:link w:val="1036"/>
    <w:uiPriority w:val="99"/>
  </w:style>
  <w:style w:type="paragraph" w:styleId="1038" w:customStyle="1">
    <w:name w:val="Пункт договора"/>
    <w:basedOn w:val="828"/>
    <w:pPr>
      <w:jc w:val="both"/>
    </w:pPr>
    <w:rPr>
      <w:rFonts w:ascii="Arial" w:hAnsi="Arial"/>
    </w:rPr>
  </w:style>
  <w:style w:type="paragraph" w:styleId="1039" w:customStyle="1">
    <w:name w:val="Знак Знак Знак Знак Знак Знак Знак Знак Знак1"/>
    <w:basedOn w:val="828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40">
    <w:name w:val="Hyperlink"/>
    <w:rPr>
      <w:color w:val="0000ff"/>
      <w:u w:val="single"/>
    </w:rPr>
  </w:style>
  <w:style w:type="paragraph" w:styleId="1041" w:customStyle="1">
    <w:name w:val="Обычный1"/>
  </w:style>
  <w:style w:type="character" w:styleId="1042" w:customStyle="1">
    <w:name w:val="Нижний колонтитул Знак"/>
    <w:link w:val="1011"/>
    <w:uiPriority w:val="99"/>
  </w:style>
  <w:style w:type="paragraph" w:styleId="104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4">
    <w:name w:val="Normal (Web)"/>
    <w:basedOn w:val="828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45" w:customStyle="1">
    <w:name w:val="StGen0"/>
    <w:basedOn w:val="828"/>
    <w:next w:val="1002"/>
    <w:link w:val="1046"/>
    <w:qFormat/>
    <w:pPr>
      <w:jc w:val="center"/>
    </w:pPr>
    <w:rPr>
      <w:b/>
      <w:bCs/>
      <w:sz w:val="24"/>
      <w:szCs w:val="24"/>
    </w:rPr>
  </w:style>
  <w:style w:type="character" w:styleId="1046" w:customStyle="1">
    <w:name w:val="Название Знак"/>
    <w:link w:val="1045"/>
    <w:rPr>
      <w:b/>
      <w:bCs/>
      <w:sz w:val="24"/>
      <w:szCs w:val="24"/>
    </w:rPr>
  </w:style>
  <w:style w:type="paragraph" w:styleId="1047" w:customStyle="1">
    <w:name w:val="ConsNonformat"/>
    <w:rPr>
      <w:rFonts w:ascii="Courier New" w:hAnsi="Courier New" w:cs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12186-1FD8-4A34-98F1-0AE0861B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86</cp:revision>
  <dcterms:created xsi:type="dcterms:W3CDTF">2019-09-20T01:52:00Z</dcterms:created>
  <dcterms:modified xsi:type="dcterms:W3CDTF">2026-03-09T22:47:10Z</dcterms:modified>
</cp:coreProperties>
</file>